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3959A2" w14:paraId="3C8FD656" w14:textId="77777777">
      <w:pPr>
        <w:jc w:val="center"/>
        <w:rPr>
          <w:b/>
          <w:szCs w:val="22"/>
        </w:rPr>
      </w:pPr>
      <w:r w:rsidRPr="003959A2">
        <w:rPr>
          <w:b/>
          <w:kern w:val="0"/>
          <w:szCs w:val="22"/>
        </w:rPr>
        <w:t>Before</w:t>
      </w:r>
      <w:r w:rsidRPr="003959A2">
        <w:rPr>
          <w:b/>
          <w:szCs w:val="22"/>
        </w:rPr>
        <w:t xml:space="preserve"> the</w:t>
      </w:r>
    </w:p>
    <w:p w:rsidR="00921803" w:rsidRPr="003959A2" w:rsidP="00921803" w14:paraId="3C8FD657" w14:textId="77777777">
      <w:pPr>
        <w:pStyle w:val="StyleBoldCentered"/>
        <w:rPr>
          <w:rFonts w:ascii="Times New Roman" w:hAnsi="Times New Roman"/>
        </w:rPr>
      </w:pPr>
      <w:r w:rsidRPr="003959A2">
        <w:rPr>
          <w:rFonts w:ascii="Times New Roman" w:hAnsi="Times New Roman"/>
        </w:rPr>
        <w:t>F</w:t>
      </w:r>
      <w:r w:rsidRPr="003959A2">
        <w:rPr>
          <w:rFonts w:ascii="Times New Roman" w:hAnsi="Times New Roman"/>
          <w:caps w:val="0"/>
        </w:rPr>
        <w:t>ederal Communications Commission</w:t>
      </w:r>
    </w:p>
    <w:p w:rsidR="004C2EE3" w:rsidRPr="003959A2" w:rsidP="00096D8C" w14:paraId="3C8FD658" w14:textId="77777777">
      <w:pPr>
        <w:pStyle w:val="StyleBoldCentered"/>
        <w:rPr>
          <w:rFonts w:ascii="Times New Roman" w:hAnsi="Times New Roman"/>
        </w:rPr>
      </w:pPr>
      <w:r w:rsidRPr="003959A2">
        <w:rPr>
          <w:rFonts w:ascii="Times New Roman" w:hAnsi="Times New Roman"/>
          <w:caps w:val="0"/>
        </w:rPr>
        <w:t>Washington, D.C. 20554</w:t>
      </w:r>
    </w:p>
    <w:p w:rsidR="004C2EE3" w:rsidRPr="003959A2" w:rsidP="0070224F" w14:paraId="3C8FD659" w14:textId="77777777">
      <w:pPr>
        <w:rPr>
          <w:szCs w:val="22"/>
        </w:rPr>
      </w:pPr>
    </w:p>
    <w:tbl>
      <w:tblPr>
        <w:tblW w:w="9576" w:type="dxa"/>
        <w:tblLayout w:type="fixed"/>
        <w:tblLook w:val="0000"/>
      </w:tblPr>
      <w:tblGrid>
        <w:gridCol w:w="4698"/>
        <w:gridCol w:w="630"/>
        <w:gridCol w:w="4248"/>
      </w:tblGrid>
      <w:tr w14:paraId="3C8FD66E" w14:textId="77777777" w:rsidTr="00FB4671">
        <w:tblPrEx>
          <w:tblW w:w="9576" w:type="dxa"/>
          <w:tblLayout w:type="fixed"/>
          <w:tblLook w:val="0000"/>
        </w:tblPrEx>
        <w:tc>
          <w:tcPr>
            <w:tcW w:w="4698" w:type="dxa"/>
          </w:tcPr>
          <w:p w:rsidR="00FB4671" w:rsidRPr="003959A2" w:rsidP="00FB4671" w14:paraId="4FBA8934" w14:textId="77777777">
            <w:pPr>
              <w:tabs>
                <w:tab w:val="center" w:pos="4680"/>
              </w:tabs>
              <w:suppressAutoHyphens/>
              <w:rPr>
                <w:spacing w:val="-2"/>
                <w:szCs w:val="22"/>
              </w:rPr>
            </w:pPr>
            <w:r w:rsidRPr="003959A2">
              <w:rPr>
                <w:spacing w:val="-2"/>
                <w:szCs w:val="22"/>
              </w:rPr>
              <w:t>In the Matter of</w:t>
            </w:r>
          </w:p>
          <w:p w:rsidR="00FB4671" w:rsidRPr="003959A2" w:rsidP="00FB4671" w14:paraId="422E64A2" w14:textId="77777777">
            <w:pPr>
              <w:tabs>
                <w:tab w:val="center" w:pos="4680"/>
              </w:tabs>
              <w:suppressAutoHyphens/>
              <w:rPr>
                <w:spacing w:val="-2"/>
                <w:szCs w:val="22"/>
              </w:rPr>
            </w:pPr>
          </w:p>
          <w:p w:rsidR="00FB4671" w:rsidRPr="003959A2" w:rsidP="00FB4671" w14:paraId="08D78567" w14:textId="77777777">
            <w:pPr>
              <w:tabs>
                <w:tab w:val="center" w:pos="4680"/>
              </w:tabs>
              <w:suppressAutoHyphens/>
              <w:rPr>
                <w:b/>
                <w:bCs/>
                <w:spacing w:val="-2"/>
                <w:szCs w:val="22"/>
              </w:rPr>
            </w:pPr>
            <w:r w:rsidRPr="003959A2">
              <w:rPr>
                <w:b/>
                <w:bCs/>
                <w:spacing w:val="-2"/>
                <w:szCs w:val="22"/>
              </w:rPr>
              <w:t>ROSELAND BROADCASTING, INC.</w:t>
            </w:r>
          </w:p>
          <w:p w:rsidR="00FB4671" w:rsidRPr="003959A2" w:rsidP="00FB4671" w14:paraId="4F257F22" w14:textId="77777777">
            <w:pPr>
              <w:tabs>
                <w:tab w:val="center" w:pos="4680"/>
              </w:tabs>
              <w:suppressAutoHyphens/>
              <w:rPr>
                <w:spacing w:val="-2"/>
                <w:szCs w:val="22"/>
              </w:rPr>
            </w:pPr>
          </w:p>
          <w:p w:rsidR="00FB4671" w:rsidRPr="003959A2" w:rsidP="00FB4671" w14:paraId="6C8B1676" w14:textId="77777777">
            <w:pPr>
              <w:tabs>
                <w:tab w:val="center" w:pos="4680"/>
              </w:tabs>
              <w:suppressAutoHyphens/>
              <w:rPr>
                <w:spacing w:val="-2"/>
                <w:szCs w:val="22"/>
              </w:rPr>
            </w:pPr>
            <w:r w:rsidRPr="003959A2">
              <w:rPr>
                <w:spacing w:val="-2"/>
                <w:szCs w:val="22"/>
              </w:rPr>
              <w:t>Low Power Television Station</w:t>
            </w:r>
          </w:p>
          <w:p w:rsidR="00FB4671" w:rsidRPr="003959A2" w:rsidP="00FB4671" w14:paraId="2EE9A847" w14:textId="77777777">
            <w:pPr>
              <w:tabs>
                <w:tab w:val="center" w:pos="4680"/>
              </w:tabs>
              <w:suppressAutoHyphens/>
              <w:rPr>
                <w:spacing w:val="-2"/>
                <w:szCs w:val="22"/>
              </w:rPr>
            </w:pPr>
            <w:r w:rsidRPr="003959A2">
              <w:rPr>
                <w:spacing w:val="-2"/>
                <w:szCs w:val="22"/>
              </w:rPr>
              <w:t>KXCC-LD, Corpus Christi, TX</w:t>
            </w:r>
          </w:p>
          <w:p w:rsidR="00FB4671" w:rsidRPr="003959A2" w:rsidP="00FB4671" w14:paraId="3C8FD660" w14:textId="4410B347">
            <w:pPr>
              <w:tabs>
                <w:tab w:val="center" w:pos="4680"/>
              </w:tabs>
              <w:suppressAutoHyphens/>
              <w:rPr>
                <w:spacing w:val="-2"/>
                <w:szCs w:val="22"/>
              </w:rPr>
            </w:pPr>
          </w:p>
        </w:tc>
        <w:tc>
          <w:tcPr>
            <w:tcW w:w="630" w:type="dxa"/>
          </w:tcPr>
          <w:p w:rsidR="00FB4671" w:rsidRPr="003959A2" w:rsidP="00FB4671" w14:paraId="18EA20E1" w14:textId="77777777">
            <w:pPr>
              <w:tabs>
                <w:tab w:val="center" w:pos="4680"/>
              </w:tabs>
              <w:suppressAutoHyphens/>
              <w:rPr>
                <w:b/>
                <w:spacing w:val="-2"/>
                <w:szCs w:val="22"/>
              </w:rPr>
            </w:pPr>
            <w:r w:rsidRPr="003959A2">
              <w:rPr>
                <w:b/>
                <w:spacing w:val="-2"/>
                <w:szCs w:val="22"/>
              </w:rPr>
              <w:t>)</w:t>
            </w:r>
          </w:p>
          <w:p w:rsidR="00FB4671" w:rsidRPr="003959A2" w:rsidP="00FB4671" w14:paraId="68FC09DD" w14:textId="77777777">
            <w:pPr>
              <w:tabs>
                <w:tab w:val="center" w:pos="4680"/>
              </w:tabs>
              <w:suppressAutoHyphens/>
              <w:rPr>
                <w:b/>
                <w:spacing w:val="-2"/>
                <w:szCs w:val="22"/>
              </w:rPr>
            </w:pPr>
            <w:r w:rsidRPr="003959A2">
              <w:rPr>
                <w:b/>
                <w:spacing w:val="-2"/>
                <w:szCs w:val="22"/>
              </w:rPr>
              <w:t>)</w:t>
            </w:r>
          </w:p>
          <w:p w:rsidR="00FB4671" w:rsidRPr="003959A2" w:rsidP="00FB4671" w14:paraId="281350FB" w14:textId="77777777">
            <w:pPr>
              <w:tabs>
                <w:tab w:val="center" w:pos="4680"/>
              </w:tabs>
              <w:suppressAutoHyphens/>
              <w:rPr>
                <w:b/>
                <w:spacing w:val="-2"/>
                <w:szCs w:val="22"/>
              </w:rPr>
            </w:pPr>
            <w:r w:rsidRPr="003959A2">
              <w:rPr>
                <w:b/>
                <w:spacing w:val="-2"/>
                <w:szCs w:val="22"/>
              </w:rPr>
              <w:t>)</w:t>
            </w:r>
          </w:p>
          <w:p w:rsidR="00FB4671" w:rsidRPr="003959A2" w:rsidP="00FB4671" w14:paraId="08168407" w14:textId="77777777">
            <w:pPr>
              <w:tabs>
                <w:tab w:val="center" w:pos="4680"/>
              </w:tabs>
              <w:suppressAutoHyphens/>
              <w:rPr>
                <w:b/>
                <w:spacing w:val="-2"/>
                <w:szCs w:val="22"/>
              </w:rPr>
            </w:pPr>
            <w:r w:rsidRPr="003959A2">
              <w:rPr>
                <w:b/>
                <w:spacing w:val="-2"/>
                <w:szCs w:val="22"/>
              </w:rPr>
              <w:t>)</w:t>
            </w:r>
          </w:p>
          <w:p w:rsidR="00FB4671" w:rsidRPr="003959A2" w:rsidP="00FB4671" w14:paraId="62D3C806" w14:textId="77777777">
            <w:pPr>
              <w:tabs>
                <w:tab w:val="center" w:pos="4680"/>
              </w:tabs>
              <w:suppressAutoHyphens/>
              <w:rPr>
                <w:b/>
                <w:spacing w:val="-2"/>
                <w:szCs w:val="22"/>
              </w:rPr>
            </w:pPr>
            <w:r w:rsidRPr="003959A2">
              <w:rPr>
                <w:b/>
                <w:spacing w:val="-2"/>
                <w:szCs w:val="22"/>
              </w:rPr>
              <w:t>)</w:t>
            </w:r>
          </w:p>
          <w:p w:rsidR="00FB4671" w:rsidRPr="003959A2" w:rsidP="00FB4671" w14:paraId="3C8FD667" w14:textId="71AD72F5">
            <w:pPr>
              <w:tabs>
                <w:tab w:val="center" w:pos="4680"/>
              </w:tabs>
              <w:suppressAutoHyphens/>
              <w:rPr>
                <w:b/>
                <w:spacing w:val="-2"/>
                <w:szCs w:val="22"/>
              </w:rPr>
            </w:pPr>
            <w:r w:rsidRPr="003959A2">
              <w:rPr>
                <w:b/>
                <w:spacing w:val="-2"/>
                <w:szCs w:val="22"/>
              </w:rPr>
              <w:t>)</w:t>
            </w:r>
          </w:p>
        </w:tc>
        <w:tc>
          <w:tcPr>
            <w:tcW w:w="4248" w:type="dxa"/>
          </w:tcPr>
          <w:p w:rsidR="00FB4671" w:rsidRPr="003959A2" w:rsidP="00FB4671" w14:paraId="35AA4DD6" w14:textId="77777777">
            <w:pPr>
              <w:tabs>
                <w:tab w:val="center" w:pos="4680"/>
              </w:tabs>
              <w:suppressAutoHyphens/>
              <w:rPr>
                <w:spacing w:val="-2"/>
                <w:szCs w:val="22"/>
              </w:rPr>
            </w:pPr>
          </w:p>
          <w:p w:rsidR="00FB4671" w:rsidRPr="003959A2" w:rsidP="00FB4671" w14:paraId="6178E94D" w14:textId="77777777">
            <w:pPr>
              <w:pStyle w:val="TOAHeading"/>
              <w:tabs>
                <w:tab w:val="center" w:pos="4680"/>
                <w:tab w:val="clear" w:pos="9360"/>
              </w:tabs>
              <w:rPr>
                <w:spacing w:val="-2"/>
                <w:szCs w:val="22"/>
              </w:rPr>
            </w:pPr>
          </w:p>
          <w:p w:rsidR="00FB4671" w:rsidRPr="003959A2" w:rsidP="00FB4671" w14:paraId="769B11A6" w14:textId="77777777">
            <w:pPr>
              <w:pStyle w:val="TOAHeading"/>
              <w:tabs>
                <w:tab w:val="center" w:pos="4680"/>
              </w:tabs>
              <w:rPr>
                <w:spacing w:val="-2"/>
                <w:szCs w:val="22"/>
              </w:rPr>
            </w:pPr>
            <w:r w:rsidRPr="003959A2">
              <w:rPr>
                <w:spacing w:val="-2"/>
                <w:szCs w:val="22"/>
              </w:rPr>
              <w:t>Facility ID No. 48834</w:t>
            </w:r>
          </w:p>
          <w:p w:rsidR="00FB4671" w:rsidRPr="003959A2" w:rsidP="00FB4671" w14:paraId="360115FA" w14:textId="53E72D23">
            <w:pPr>
              <w:pStyle w:val="TOAHeading"/>
              <w:tabs>
                <w:tab w:val="center" w:pos="4680"/>
              </w:tabs>
              <w:rPr>
                <w:spacing w:val="-2"/>
                <w:szCs w:val="22"/>
              </w:rPr>
            </w:pPr>
            <w:r w:rsidRPr="003959A2">
              <w:rPr>
                <w:spacing w:val="-2"/>
                <w:szCs w:val="22"/>
              </w:rPr>
              <w:t>NAL/Acct. No. 202341420046</w:t>
            </w:r>
          </w:p>
          <w:p w:rsidR="00FB4671" w:rsidRPr="003959A2" w:rsidP="00FB4671" w14:paraId="62B4D748" w14:textId="6372C702">
            <w:pPr>
              <w:pStyle w:val="TOAHeading"/>
              <w:tabs>
                <w:tab w:val="center" w:pos="4680"/>
              </w:tabs>
              <w:rPr>
                <w:spacing w:val="-2"/>
                <w:szCs w:val="22"/>
              </w:rPr>
            </w:pPr>
            <w:r w:rsidRPr="003959A2">
              <w:rPr>
                <w:spacing w:val="-2"/>
                <w:szCs w:val="22"/>
              </w:rPr>
              <w:t>FRN: 0028087013</w:t>
            </w:r>
          </w:p>
          <w:p w:rsidR="00FB4671" w:rsidRPr="003959A2" w:rsidP="00FB4671" w14:paraId="3C8FD66D" w14:textId="2620069C">
            <w:pPr>
              <w:pStyle w:val="TOAHeading"/>
              <w:tabs>
                <w:tab w:val="clear" w:pos="9360"/>
              </w:tabs>
              <w:rPr>
                <w:spacing w:val="-2"/>
                <w:szCs w:val="22"/>
              </w:rPr>
            </w:pPr>
          </w:p>
        </w:tc>
      </w:tr>
    </w:tbl>
    <w:p w:rsidR="00841AB1" w:rsidRPr="003959A2" w:rsidP="003C5B79" w14:paraId="3C8FD670" w14:textId="07319F79">
      <w:pPr>
        <w:pStyle w:val="StyleBoldCentered"/>
        <w:rPr>
          <w:rFonts w:ascii="Times New Roman" w:hAnsi="Times New Roman"/>
        </w:rPr>
      </w:pPr>
      <w:r w:rsidRPr="003959A2">
        <w:rPr>
          <w:rFonts w:ascii="Times New Roman" w:hAnsi="Times New Roman"/>
        </w:rPr>
        <w:t xml:space="preserve">Forfeiture </w:t>
      </w:r>
      <w:r w:rsidRPr="003959A2" w:rsidR="00264785">
        <w:rPr>
          <w:rFonts w:ascii="Times New Roman" w:hAnsi="Times New Roman"/>
        </w:rPr>
        <w:t>ORDER</w:t>
      </w:r>
    </w:p>
    <w:p w:rsidR="004C2EE3" w:rsidRPr="003959A2" w14:paraId="3C8FD671" w14:textId="77777777">
      <w:pPr>
        <w:tabs>
          <w:tab w:val="left" w:pos="-720"/>
        </w:tabs>
        <w:suppressAutoHyphens/>
        <w:spacing w:line="227" w:lineRule="auto"/>
        <w:rPr>
          <w:spacing w:val="-2"/>
          <w:szCs w:val="22"/>
        </w:rPr>
      </w:pPr>
    </w:p>
    <w:p w:rsidR="004C2EE3" w:rsidRPr="003959A2" w:rsidP="00133F79" w14:paraId="3C8FD672" w14:textId="7FA59800">
      <w:pPr>
        <w:tabs>
          <w:tab w:val="left" w:pos="720"/>
          <w:tab w:val="right" w:pos="9360"/>
        </w:tabs>
        <w:suppressAutoHyphens/>
        <w:spacing w:line="227" w:lineRule="auto"/>
        <w:rPr>
          <w:spacing w:val="-2"/>
          <w:szCs w:val="22"/>
        </w:rPr>
      </w:pPr>
      <w:r w:rsidRPr="003959A2">
        <w:rPr>
          <w:b/>
          <w:spacing w:val="-2"/>
          <w:szCs w:val="22"/>
        </w:rPr>
        <w:t xml:space="preserve">Adopted: </w:t>
      </w:r>
      <w:r w:rsidRPr="003959A2" w:rsidR="001D5806">
        <w:rPr>
          <w:b/>
          <w:spacing w:val="-2"/>
          <w:szCs w:val="22"/>
        </w:rPr>
        <w:t xml:space="preserve"> </w:t>
      </w:r>
      <w:r w:rsidR="0044736D">
        <w:rPr>
          <w:b/>
          <w:spacing w:val="-2"/>
          <w:szCs w:val="22"/>
        </w:rPr>
        <w:t>April 4, 2024</w:t>
      </w:r>
      <w:r w:rsidRPr="003959A2">
        <w:rPr>
          <w:b/>
          <w:spacing w:val="-2"/>
          <w:szCs w:val="22"/>
        </w:rPr>
        <w:tab/>
      </w:r>
      <w:r w:rsidRPr="003959A2" w:rsidR="00822CE0">
        <w:rPr>
          <w:b/>
          <w:spacing w:val="-2"/>
          <w:szCs w:val="22"/>
        </w:rPr>
        <w:t>Released</w:t>
      </w:r>
      <w:r w:rsidRPr="003959A2">
        <w:rPr>
          <w:b/>
          <w:spacing w:val="-2"/>
          <w:szCs w:val="22"/>
        </w:rPr>
        <w:t>:</w:t>
      </w:r>
      <w:r w:rsidRPr="003959A2" w:rsidR="00822CE0">
        <w:rPr>
          <w:b/>
          <w:spacing w:val="-2"/>
          <w:szCs w:val="22"/>
        </w:rPr>
        <w:t xml:space="preserve"> </w:t>
      </w:r>
      <w:r w:rsidRPr="003959A2">
        <w:rPr>
          <w:b/>
          <w:spacing w:val="-2"/>
          <w:szCs w:val="22"/>
        </w:rPr>
        <w:t xml:space="preserve"> </w:t>
      </w:r>
      <w:r w:rsidR="0044736D">
        <w:rPr>
          <w:b/>
          <w:spacing w:val="-2"/>
          <w:szCs w:val="22"/>
        </w:rPr>
        <w:t>April 4, 2024</w:t>
      </w:r>
    </w:p>
    <w:p w:rsidR="00822CE0" w:rsidRPr="003959A2" w14:paraId="3C8FD673" w14:textId="77777777">
      <w:pPr>
        <w:rPr>
          <w:szCs w:val="22"/>
        </w:rPr>
      </w:pPr>
    </w:p>
    <w:p w:rsidR="004C2EE3" w:rsidRPr="003959A2" w14:paraId="3C8FD674" w14:textId="7B52B259">
      <w:pPr>
        <w:rPr>
          <w:spacing w:val="-2"/>
          <w:szCs w:val="22"/>
        </w:rPr>
      </w:pPr>
      <w:r w:rsidRPr="003959A2">
        <w:rPr>
          <w:szCs w:val="22"/>
        </w:rPr>
        <w:t xml:space="preserve">By </w:t>
      </w:r>
      <w:r w:rsidRPr="003959A2" w:rsidR="004E4A22">
        <w:rPr>
          <w:szCs w:val="22"/>
        </w:rPr>
        <w:t>the</w:t>
      </w:r>
      <w:r w:rsidRPr="003959A2" w:rsidR="002A2D2E">
        <w:rPr>
          <w:szCs w:val="22"/>
        </w:rPr>
        <w:t xml:space="preserve"> </w:t>
      </w:r>
      <w:r w:rsidRPr="003959A2" w:rsidR="00474268">
        <w:rPr>
          <w:spacing w:val="-2"/>
          <w:szCs w:val="22"/>
        </w:rPr>
        <w:t xml:space="preserve">Chief, </w:t>
      </w:r>
      <w:r w:rsidRPr="003959A2" w:rsidR="001D5806">
        <w:rPr>
          <w:spacing w:val="-2"/>
          <w:szCs w:val="22"/>
        </w:rPr>
        <w:t>Video</w:t>
      </w:r>
      <w:r w:rsidRPr="003959A2" w:rsidR="00474268">
        <w:rPr>
          <w:spacing w:val="-2"/>
          <w:szCs w:val="22"/>
        </w:rPr>
        <w:t xml:space="preserve"> Division, Media Bureau</w:t>
      </w:r>
      <w:r w:rsidRPr="003959A2">
        <w:rPr>
          <w:spacing w:val="-2"/>
          <w:szCs w:val="22"/>
        </w:rPr>
        <w:t>:</w:t>
      </w:r>
    </w:p>
    <w:p w:rsidR="00822CE0" w:rsidRPr="003959A2" w14:paraId="3C8FD675" w14:textId="77777777">
      <w:pPr>
        <w:rPr>
          <w:spacing w:val="-2"/>
          <w:szCs w:val="22"/>
        </w:rPr>
      </w:pPr>
    </w:p>
    <w:p w:rsidR="00474268" w:rsidRPr="003959A2" w:rsidP="00474268" w14:paraId="3C8FD676" w14:textId="77777777">
      <w:pPr>
        <w:pStyle w:val="Heading1"/>
        <w:rPr>
          <w:rFonts w:ascii="Times New Roman" w:hAnsi="Times New Roman"/>
          <w:szCs w:val="22"/>
        </w:rPr>
      </w:pPr>
      <w:r w:rsidRPr="003959A2">
        <w:rPr>
          <w:rFonts w:ascii="Times New Roman" w:hAnsi="Times New Roman"/>
          <w:szCs w:val="22"/>
        </w:rPr>
        <w:t>INTRODUCTION</w:t>
      </w:r>
    </w:p>
    <w:p w:rsidR="00FB4671" w:rsidRPr="003959A2" w:rsidP="00C42C83" w14:paraId="1F867A25" w14:textId="1EAFE7AD">
      <w:pPr>
        <w:pStyle w:val="ParaNum"/>
        <w:rPr>
          <w:szCs w:val="22"/>
        </w:rPr>
      </w:pPr>
      <w:r w:rsidRPr="003959A2">
        <w:rPr>
          <w:szCs w:val="22"/>
        </w:rPr>
        <w:t xml:space="preserve">In this </w:t>
      </w:r>
      <w:r w:rsidRPr="003959A2">
        <w:rPr>
          <w:i/>
          <w:szCs w:val="22"/>
        </w:rPr>
        <w:t>Forfeiture Order</w:t>
      </w:r>
      <w:r w:rsidRPr="003959A2">
        <w:rPr>
          <w:szCs w:val="22"/>
        </w:rPr>
        <w:t>,</w:t>
      </w:r>
      <w:r w:rsidRPr="003959A2">
        <w:rPr>
          <w:i/>
          <w:szCs w:val="22"/>
        </w:rPr>
        <w:t xml:space="preserve"> </w:t>
      </w:r>
      <w:r w:rsidRPr="003959A2">
        <w:rPr>
          <w:szCs w:val="22"/>
        </w:rPr>
        <w:t>we issue a monetary forfeiture in the amount of</w:t>
      </w:r>
      <w:r w:rsidRPr="003959A2" w:rsidR="0082727C">
        <w:rPr>
          <w:szCs w:val="22"/>
        </w:rPr>
        <w:t xml:space="preserve"> </w:t>
      </w:r>
      <w:r w:rsidRPr="003959A2">
        <w:rPr>
          <w:szCs w:val="22"/>
        </w:rPr>
        <w:t xml:space="preserve">nine thousand five hundred </w:t>
      </w:r>
      <w:r w:rsidRPr="003959A2">
        <w:rPr>
          <w:szCs w:val="22"/>
        </w:rPr>
        <w:t>dollars ($</w:t>
      </w:r>
      <w:r w:rsidRPr="003959A2">
        <w:rPr>
          <w:szCs w:val="22"/>
        </w:rPr>
        <w:t>9,500</w:t>
      </w:r>
      <w:r w:rsidRPr="003959A2">
        <w:rPr>
          <w:szCs w:val="22"/>
        </w:rPr>
        <w:t xml:space="preserve">) to </w:t>
      </w:r>
      <w:r w:rsidRPr="003959A2">
        <w:rPr>
          <w:szCs w:val="22"/>
        </w:rPr>
        <w:t xml:space="preserve">Roseland Broadcasting, Inc. (RBI or Licensee), licensee of low power television (LPTV) station KXCC-LD, Corpus Christi, Texas (KXCC-LD or Station).  We find that </w:t>
      </w:r>
      <w:r w:rsidRPr="003959A2" w:rsidR="007E5C8E">
        <w:rPr>
          <w:szCs w:val="22"/>
        </w:rPr>
        <w:t>RBI</w:t>
      </w:r>
      <w:r w:rsidRPr="003959A2">
        <w:rPr>
          <w:szCs w:val="22"/>
        </w:rPr>
        <w:t xml:space="preserve"> willfully violated section</w:t>
      </w:r>
      <w:r w:rsidR="00E51AFD">
        <w:rPr>
          <w:szCs w:val="22"/>
        </w:rPr>
        <w:t>s</w:t>
      </w:r>
      <w:r w:rsidRPr="003959A2">
        <w:rPr>
          <w:szCs w:val="22"/>
        </w:rPr>
        <w:t xml:space="preserve"> 73.3598(a)</w:t>
      </w:r>
      <w:r w:rsidR="00E51AFD">
        <w:rPr>
          <w:szCs w:val="22"/>
        </w:rPr>
        <w:t xml:space="preserve"> and 73.1635(a)</w:t>
      </w:r>
      <w:r w:rsidRPr="003959A2">
        <w:rPr>
          <w:szCs w:val="22"/>
        </w:rPr>
        <w:t xml:space="preserve"> of the Commission’s rules (Rules) by failing to timely file a license to cover application</w:t>
      </w:r>
      <w:r w:rsidR="00E51AFD">
        <w:rPr>
          <w:szCs w:val="22"/>
        </w:rPr>
        <w:t xml:space="preserve"> and request for special temporary authority,</w:t>
      </w:r>
      <w:r>
        <w:rPr>
          <w:rStyle w:val="FootnoteReference"/>
          <w:color w:val="000000"/>
          <w:sz w:val="22"/>
          <w:szCs w:val="22"/>
        </w:rPr>
        <w:footnoteReference w:id="3"/>
      </w:r>
      <w:r w:rsidR="00E51AFD">
        <w:rPr>
          <w:szCs w:val="22"/>
        </w:rPr>
        <w:t xml:space="preserve"> </w:t>
      </w:r>
      <w:r w:rsidRPr="003959A2">
        <w:rPr>
          <w:szCs w:val="22"/>
        </w:rPr>
        <w:t>and willfully and repeatedly violated section 73.1745(a) of the Rules</w:t>
      </w:r>
      <w:r>
        <w:rPr>
          <w:rStyle w:val="FootnoteReference"/>
          <w:sz w:val="22"/>
          <w:szCs w:val="22"/>
        </w:rPr>
        <w:footnoteReference w:id="4"/>
      </w:r>
      <w:r w:rsidRPr="003959A2">
        <w:rPr>
          <w:szCs w:val="22"/>
        </w:rPr>
        <w:t xml:space="preserve"> and section 301 of the</w:t>
      </w:r>
      <w:r w:rsidRPr="003959A2" w:rsidR="001E624F">
        <w:rPr>
          <w:szCs w:val="22"/>
        </w:rPr>
        <w:t xml:space="preserve"> Communications</w:t>
      </w:r>
      <w:r w:rsidRPr="003959A2">
        <w:rPr>
          <w:szCs w:val="22"/>
        </w:rPr>
        <w:t xml:space="preserve"> Act</w:t>
      </w:r>
      <w:r w:rsidRPr="003959A2" w:rsidR="001E624F">
        <w:rPr>
          <w:szCs w:val="22"/>
        </w:rPr>
        <w:t xml:space="preserve"> of 1934 (Act)</w:t>
      </w:r>
      <w:r>
        <w:rPr>
          <w:rStyle w:val="FootnoteReference"/>
          <w:color w:val="000000"/>
          <w:sz w:val="22"/>
          <w:szCs w:val="22"/>
        </w:rPr>
        <w:footnoteReference w:id="5"/>
      </w:r>
      <w:r w:rsidRPr="003959A2">
        <w:rPr>
          <w:szCs w:val="22"/>
        </w:rPr>
        <w:t xml:space="preserve"> by engaging in unauthorized operation.  </w:t>
      </w:r>
    </w:p>
    <w:p w:rsidR="0072020B" w:rsidRPr="003959A2" w:rsidP="0072020B" w14:paraId="7F744FBB" w14:textId="5FBAA970">
      <w:pPr>
        <w:pStyle w:val="Heading1"/>
        <w:rPr>
          <w:rFonts w:ascii="Times New Roman" w:hAnsi="Times New Roman"/>
          <w:szCs w:val="22"/>
        </w:rPr>
      </w:pPr>
      <w:r w:rsidRPr="003959A2">
        <w:rPr>
          <w:rFonts w:ascii="Times New Roman" w:hAnsi="Times New Roman"/>
          <w:szCs w:val="22"/>
        </w:rPr>
        <w:t>BACKGROUND</w:t>
      </w:r>
    </w:p>
    <w:p w:rsidR="00162375" w:rsidRPr="003959A2" w:rsidP="00162375" w14:paraId="5BF2B478" w14:textId="1A4512A7">
      <w:pPr>
        <w:pStyle w:val="ParaNum"/>
        <w:widowControl/>
        <w:numPr>
          <w:ilvl w:val="0"/>
          <w:numId w:val="26"/>
        </w:numPr>
        <w:rPr>
          <w:szCs w:val="22"/>
        </w:rPr>
      </w:pPr>
      <w:r w:rsidRPr="003959A2">
        <w:rPr>
          <w:szCs w:val="22"/>
        </w:rPr>
        <w:t xml:space="preserve">On </w:t>
      </w:r>
      <w:r w:rsidRPr="003959A2" w:rsidR="00FB4671">
        <w:rPr>
          <w:szCs w:val="22"/>
        </w:rPr>
        <w:t>December 22</w:t>
      </w:r>
      <w:r w:rsidRPr="003959A2">
        <w:rPr>
          <w:szCs w:val="22"/>
        </w:rPr>
        <w:t>, 202</w:t>
      </w:r>
      <w:r w:rsidRPr="003959A2" w:rsidR="0082727C">
        <w:rPr>
          <w:szCs w:val="22"/>
        </w:rPr>
        <w:t>3</w:t>
      </w:r>
      <w:r w:rsidRPr="003959A2">
        <w:rPr>
          <w:szCs w:val="22"/>
        </w:rPr>
        <w:t xml:space="preserve">, the Media Bureau (Bureau) issued a </w:t>
      </w:r>
      <w:r w:rsidRPr="003959A2" w:rsidR="009F6D26">
        <w:rPr>
          <w:i/>
          <w:iCs/>
          <w:szCs w:val="22"/>
        </w:rPr>
        <w:t xml:space="preserve">Memorandum Opinion and Order and </w:t>
      </w:r>
      <w:r w:rsidRPr="003959A2">
        <w:rPr>
          <w:i/>
          <w:iCs/>
          <w:szCs w:val="22"/>
        </w:rPr>
        <w:t xml:space="preserve">Notice of Apparent Liability for Forfeiture </w:t>
      </w:r>
      <w:r w:rsidRPr="003959A2">
        <w:rPr>
          <w:szCs w:val="22"/>
        </w:rPr>
        <w:t>(</w:t>
      </w:r>
      <w:r w:rsidRPr="003959A2">
        <w:rPr>
          <w:i/>
          <w:iCs/>
          <w:szCs w:val="22"/>
        </w:rPr>
        <w:t>NAL</w:t>
      </w:r>
      <w:r w:rsidRPr="003959A2">
        <w:rPr>
          <w:szCs w:val="22"/>
        </w:rPr>
        <w:t xml:space="preserve">) in the amount </w:t>
      </w:r>
      <w:r w:rsidRPr="003959A2">
        <w:rPr>
          <w:spacing w:val="-2"/>
          <w:szCs w:val="22"/>
        </w:rPr>
        <w:t>of</w:t>
      </w:r>
      <w:r w:rsidRPr="003959A2" w:rsidR="007173FF">
        <w:rPr>
          <w:szCs w:val="22"/>
        </w:rPr>
        <w:t xml:space="preserve"> </w:t>
      </w:r>
      <w:r w:rsidRPr="003959A2" w:rsidR="00FB4671">
        <w:rPr>
          <w:szCs w:val="22"/>
        </w:rPr>
        <w:t>nine</w:t>
      </w:r>
      <w:r w:rsidRPr="003959A2">
        <w:rPr>
          <w:szCs w:val="22"/>
        </w:rPr>
        <w:t xml:space="preserve"> </w:t>
      </w:r>
      <w:r w:rsidRPr="003959A2" w:rsidR="00BB5D4C">
        <w:rPr>
          <w:szCs w:val="22"/>
        </w:rPr>
        <w:t xml:space="preserve">thousand </w:t>
      </w:r>
      <w:r w:rsidRPr="003959A2" w:rsidR="00FB4671">
        <w:rPr>
          <w:szCs w:val="22"/>
        </w:rPr>
        <w:t xml:space="preserve">five hundred </w:t>
      </w:r>
      <w:r w:rsidRPr="003959A2">
        <w:rPr>
          <w:szCs w:val="22"/>
        </w:rPr>
        <w:t>dollars ($</w:t>
      </w:r>
      <w:r w:rsidRPr="003959A2" w:rsidR="00FB4671">
        <w:rPr>
          <w:szCs w:val="22"/>
        </w:rPr>
        <w:t>9,500</w:t>
      </w:r>
      <w:r w:rsidRPr="003959A2">
        <w:rPr>
          <w:szCs w:val="22"/>
        </w:rPr>
        <w:t xml:space="preserve">) to </w:t>
      </w:r>
      <w:r w:rsidRPr="003959A2" w:rsidR="007E5C8E">
        <w:rPr>
          <w:szCs w:val="22"/>
        </w:rPr>
        <w:t>RBI</w:t>
      </w:r>
      <w:r w:rsidRPr="003959A2">
        <w:rPr>
          <w:szCs w:val="22"/>
        </w:rPr>
        <w:t>.</w:t>
      </w:r>
      <w:r>
        <w:rPr>
          <w:rStyle w:val="FootnoteReference"/>
          <w:sz w:val="22"/>
          <w:szCs w:val="22"/>
        </w:rPr>
        <w:footnoteReference w:id="6"/>
      </w:r>
      <w:r w:rsidRPr="003959A2" w:rsidR="00BB5D4C">
        <w:rPr>
          <w:szCs w:val="22"/>
        </w:rPr>
        <w:t xml:space="preserve">  I</w:t>
      </w:r>
      <w:r w:rsidRPr="003959A2" w:rsidR="000B6193">
        <w:rPr>
          <w:szCs w:val="22"/>
        </w:rPr>
        <w:t xml:space="preserve">n the </w:t>
      </w:r>
      <w:r w:rsidRPr="003959A2" w:rsidR="000B6193">
        <w:rPr>
          <w:i/>
          <w:iCs/>
          <w:szCs w:val="22"/>
        </w:rPr>
        <w:t>NAL</w:t>
      </w:r>
      <w:r w:rsidRPr="003959A2" w:rsidR="000B6193">
        <w:rPr>
          <w:szCs w:val="22"/>
        </w:rPr>
        <w:t xml:space="preserve">, we found that </w:t>
      </w:r>
      <w:r w:rsidRPr="003959A2" w:rsidR="007E5C8E">
        <w:rPr>
          <w:szCs w:val="22"/>
        </w:rPr>
        <w:t>RBI</w:t>
      </w:r>
      <w:r w:rsidRPr="003959A2" w:rsidR="000B6193">
        <w:rPr>
          <w:szCs w:val="22"/>
        </w:rPr>
        <w:t xml:space="preserve"> </w:t>
      </w:r>
      <w:r w:rsidRPr="003959A2">
        <w:rPr>
          <w:szCs w:val="22"/>
        </w:rPr>
        <w:t xml:space="preserve">commenced operations under the parameters of its modified construction permit without timely filing an application for license to cover and then modified its operations without filing a request for special temporary authority (STA) and therefore </w:t>
      </w:r>
      <w:r w:rsidRPr="003959A2" w:rsidR="007E5C8E">
        <w:rPr>
          <w:szCs w:val="22"/>
        </w:rPr>
        <w:t>it</w:t>
      </w:r>
      <w:r w:rsidRPr="003959A2">
        <w:rPr>
          <w:szCs w:val="22"/>
        </w:rPr>
        <w:t xml:space="preserve"> engaged in unauthorized operation for almost eight months in violation of section 73.1745(a) of the Rules and </w:t>
      </w:r>
      <w:r w:rsidRPr="003959A2" w:rsidR="001E624F">
        <w:rPr>
          <w:szCs w:val="22"/>
        </w:rPr>
        <w:t xml:space="preserve">section </w:t>
      </w:r>
      <w:r w:rsidRPr="003959A2">
        <w:rPr>
          <w:szCs w:val="22"/>
        </w:rPr>
        <w:t>301 of the Act.</w:t>
      </w:r>
      <w:r>
        <w:rPr>
          <w:rStyle w:val="FootnoteReference"/>
          <w:sz w:val="22"/>
          <w:szCs w:val="22"/>
        </w:rPr>
        <w:footnoteReference w:id="7"/>
      </w:r>
      <w:r w:rsidRPr="003959A2">
        <w:rPr>
          <w:szCs w:val="22"/>
        </w:rPr>
        <w:t xml:space="preserve">  Specifically, </w:t>
      </w:r>
      <w:r w:rsidRPr="003959A2" w:rsidR="008369D8">
        <w:rPr>
          <w:szCs w:val="22"/>
        </w:rPr>
        <w:t>RBI</w:t>
      </w:r>
      <w:r w:rsidRPr="003959A2">
        <w:rPr>
          <w:szCs w:val="22"/>
        </w:rPr>
        <w:t xml:space="preserve"> operated at full-power without a valid license authorization from February 1, 2023 through June 27, 2023 and then it operated at reduced power without a valid STA from June 27, 2023 to September 25, 2023.</w:t>
      </w:r>
      <w:r>
        <w:rPr>
          <w:rStyle w:val="FootnoteReference"/>
          <w:sz w:val="22"/>
          <w:szCs w:val="22"/>
        </w:rPr>
        <w:footnoteReference w:id="8"/>
      </w:r>
      <w:r w:rsidRPr="003959A2">
        <w:rPr>
          <w:szCs w:val="22"/>
        </w:rPr>
        <w:t xml:space="preserve">  Therefore we found that </w:t>
      </w:r>
      <w:r w:rsidRPr="003959A2" w:rsidR="008369D8">
        <w:rPr>
          <w:szCs w:val="22"/>
        </w:rPr>
        <w:t>RBI</w:t>
      </w:r>
      <w:r w:rsidRPr="003959A2">
        <w:rPr>
          <w:szCs w:val="22"/>
        </w:rPr>
        <w:t xml:space="preserve"> apparently violated the Rules and the Act and is apparently liable for forfeiture.</w:t>
      </w:r>
      <w:r>
        <w:rPr>
          <w:rStyle w:val="FootnoteReference"/>
          <w:sz w:val="22"/>
          <w:szCs w:val="22"/>
        </w:rPr>
        <w:footnoteReference w:id="9"/>
      </w:r>
    </w:p>
    <w:p w:rsidR="00162375" w:rsidRPr="003959A2" w:rsidP="003959A2" w14:paraId="568C954E" w14:textId="577F3248">
      <w:pPr>
        <w:pStyle w:val="ParaNum"/>
        <w:widowControl/>
        <w:rPr>
          <w:szCs w:val="22"/>
        </w:rPr>
      </w:pPr>
      <w:r w:rsidRPr="003959A2">
        <w:rPr>
          <w:szCs w:val="22"/>
        </w:rPr>
        <w:t>In a January 22, 2024 Request for Reduction, RBI “urges that the Commission reduce the forfeiture to $3,000.”</w:t>
      </w:r>
      <w:r>
        <w:rPr>
          <w:rStyle w:val="FootnoteReference"/>
          <w:sz w:val="22"/>
          <w:szCs w:val="22"/>
        </w:rPr>
        <w:footnoteReference w:id="10"/>
      </w:r>
      <w:r w:rsidRPr="003959A2">
        <w:rPr>
          <w:szCs w:val="22"/>
        </w:rPr>
        <w:t xml:space="preserve">  RBI argues that there was no intent when it “filed the wrong form at the correct time” and that it is in the “process of instituting safeguards so that errors like the present one can be minimized and hopefully eliminated.”</w:t>
      </w:r>
      <w:r>
        <w:rPr>
          <w:rStyle w:val="FootnoteReference"/>
          <w:sz w:val="22"/>
          <w:szCs w:val="22"/>
        </w:rPr>
        <w:footnoteReference w:id="11"/>
      </w:r>
      <w:r w:rsidRPr="003959A2" w:rsidR="00ED78F9">
        <w:rPr>
          <w:szCs w:val="22"/>
        </w:rPr>
        <w:t xml:space="preserve">  </w:t>
      </w:r>
      <w:r w:rsidRPr="003959A2" w:rsidR="006C2B8E">
        <w:rPr>
          <w:szCs w:val="22"/>
        </w:rPr>
        <w:t>RBI also contends that “the omission, in the context they were made, caused no harm.”</w:t>
      </w:r>
      <w:r>
        <w:rPr>
          <w:rStyle w:val="FootnoteReference"/>
          <w:sz w:val="22"/>
          <w:szCs w:val="22"/>
        </w:rPr>
        <w:footnoteReference w:id="12"/>
      </w:r>
    </w:p>
    <w:p w:rsidR="007E5C8E" w:rsidRPr="003959A2" w:rsidP="00C42C83" w14:paraId="3984152A" w14:textId="7790B69F">
      <w:pPr>
        <w:pStyle w:val="ParaNum"/>
        <w:rPr>
          <w:szCs w:val="22"/>
        </w:rPr>
      </w:pPr>
      <w:r w:rsidRPr="003959A2">
        <w:rPr>
          <w:szCs w:val="22"/>
        </w:rPr>
        <w:t>RBI also argues that the forfeiture amount was excessive.</w:t>
      </w:r>
      <w:r>
        <w:rPr>
          <w:rStyle w:val="FootnoteReference"/>
          <w:sz w:val="22"/>
          <w:szCs w:val="22"/>
        </w:rPr>
        <w:footnoteReference w:id="13"/>
      </w:r>
      <w:r w:rsidRPr="003959A2">
        <w:rPr>
          <w:szCs w:val="22"/>
        </w:rPr>
        <w:t xml:space="preserve">  RBI cites to </w:t>
      </w:r>
      <w:r w:rsidRPr="003959A2" w:rsidR="00ED2DBD">
        <w:rPr>
          <w:szCs w:val="22"/>
        </w:rPr>
        <w:t xml:space="preserve">three </w:t>
      </w:r>
      <w:r w:rsidRPr="003959A2">
        <w:rPr>
          <w:szCs w:val="22"/>
        </w:rPr>
        <w:t xml:space="preserve">prior Commission forfeiture decisions </w:t>
      </w:r>
      <w:r w:rsidRPr="003959A2" w:rsidR="00ED2DBD">
        <w:rPr>
          <w:szCs w:val="22"/>
        </w:rPr>
        <w:t>(that</w:t>
      </w:r>
      <w:r w:rsidRPr="003959A2" w:rsidR="008369D8">
        <w:rPr>
          <w:szCs w:val="22"/>
        </w:rPr>
        <w:t xml:space="preserve"> </w:t>
      </w:r>
      <w:r w:rsidRPr="003959A2" w:rsidR="00ED2DBD">
        <w:rPr>
          <w:szCs w:val="22"/>
        </w:rPr>
        <w:t xml:space="preserve">were cited in the </w:t>
      </w:r>
      <w:r w:rsidRPr="003959A2" w:rsidR="00ED2DBD">
        <w:rPr>
          <w:i/>
          <w:iCs/>
          <w:szCs w:val="22"/>
        </w:rPr>
        <w:t>NAL</w:t>
      </w:r>
      <w:r w:rsidRPr="003959A2" w:rsidR="00ED2DBD">
        <w:rPr>
          <w:szCs w:val="22"/>
        </w:rPr>
        <w:t xml:space="preserve">) </w:t>
      </w:r>
      <w:r w:rsidRPr="003959A2">
        <w:rPr>
          <w:szCs w:val="22"/>
        </w:rPr>
        <w:t xml:space="preserve">that it argues </w:t>
      </w:r>
      <w:r w:rsidRPr="003959A2" w:rsidR="00ED2DBD">
        <w:rPr>
          <w:szCs w:val="22"/>
        </w:rPr>
        <w:t>represent “precedent to support the reduction of the forfeiture amount.”</w:t>
      </w:r>
      <w:r>
        <w:rPr>
          <w:rStyle w:val="FootnoteReference"/>
          <w:sz w:val="22"/>
          <w:szCs w:val="22"/>
        </w:rPr>
        <w:footnoteReference w:id="14"/>
      </w:r>
    </w:p>
    <w:p w:rsidR="0072020B" w:rsidRPr="003959A2" w:rsidP="0072020B" w14:paraId="0503D6FD" w14:textId="06FCB3C2">
      <w:pPr>
        <w:pStyle w:val="Heading1"/>
        <w:rPr>
          <w:rFonts w:ascii="Times New Roman" w:hAnsi="Times New Roman"/>
          <w:szCs w:val="22"/>
        </w:rPr>
      </w:pPr>
      <w:r w:rsidRPr="003959A2">
        <w:rPr>
          <w:rFonts w:ascii="Times New Roman" w:hAnsi="Times New Roman"/>
          <w:szCs w:val="22"/>
        </w:rPr>
        <w:t>DISCUSSION</w:t>
      </w:r>
    </w:p>
    <w:p w:rsidR="0072020B" w:rsidRPr="003959A2" w:rsidP="003959A2" w14:paraId="6B7DABA8" w14:textId="3FFA51F3">
      <w:pPr>
        <w:pStyle w:val="ParaNum"/>
        <w:rPr>
          <w:szCs w:val="22"/>
        </w:rPr>
      </w:pPr>
      <w:r w:rsidRPr="003959A2">
        <w:t xml:space="preserve">The forfeiture amount proposed in this case was assessed in accordance with </w:t>
      </w:r>
      <w:r w:rsidRPr="003959A2" w:rsidR="0089279E">
        <w:t>s</w:t>
      </w:r>
      <w:r w:rsidRPr="003959A2">
        <w:t xml:space="preserve">ection 503(b) of the </w:t>
      </w:r>
      <w:r w:rsidRPr="003959A2" w:rsidR="007D14F1">
        <w:t>Act</w:t>
      </w:r>
      <w:r w:rsidRPr="003959A2">
        <w:t>,</w:t>
      </w:r>
      <w:r>
        <w:rPr>
          <w:rStyle w:val="FootnoteReference"/>
          <w:sz w:val="22"/>
          <w:szCs w:val="22"/>
        </w:rPr>
        <w:footnoteReference w:id="15"/>
      </w:r>
      <w:r w:rsidRPr="003959A2">
        <w:t xml:space="preserve"> </w:t>
      </w:r>
      <w:r w:rsidRPr="003959A2" w:rsidR="00BF1525">
        <w:t>s</w:t>
      </w:r>
      <w:r w:rsidRPr="003959A2">
        <w:t xml:space="preserve">ection 1.80 of the </w:t>
      </w:r>
      <w:r w:rsidRPr="003959A2" w:rsidR="0089279E">
        <w:t>r</w:t>
      </w:r>
      <w:r w:rsidRPr="003959A2">
        <w:t>ules,</w:t>
      </w:r>
      <w:r>
        <w:rPr>
          <w:rStyle w:val="FootnoteReference"/>
          <w:sz w:val="22"/>
          <w:szCs w:val="22"/>
        </w:rPr>
        <w:footnoteReference w:id="16"/>
      </w:r>
      <w:r w:rsidRPr="003959A2">
        <w:t xml:space="preserve"> and the Commission’s </w:t>
      </w:r>
      <w:r w:rsidRPr="003959A2">
        <w:rPr>
          <w:i/>
        </w:rPr>
        <w:t>Forfeiture Policy Statement</w:t>
      </w:r>
      <w:r w:rsidRPr="003959A2">
        <w:t>.</w:t>
      </w:r>
      <w:r>
        <w:rPr>
          <w:rStyle w:val="FootnoteReference"/>
          <w:sz w:val="22"/>
          <w:szCs w:val="22"/>
        </w:rPr>
        <w:footnoteReference w:id="17"/>
      </w:r>
      <w:r w:rsidRPr="003959A2">
        <w:t xml:space="preserve">  </w:t>
      </w:r>
      <w:r w:rsidR="003959A2">
        <w:t>In particular, the Commission's</w:t>
      </w:r>
      <w:r w:rsidRPr="00E51AFD" w:rsidR="003959A2">
        <w:rPr>
          <w:i/>
          <w:iCs/>
        </w:rPr>
        <w:t xml:space="preserve"> Forfeiture Policy Statement</w:t>
      </w:r>
      <w:r w:rsidR="003959A2">
        <w:t xml:space="preserve"> and section 1.80(b)(10) of the Rules establish a base forfeiture amount of $3,000 for the failure to file a required form.</w:t>
      </w:r>
      <w:r>
        <w:rPr>
          <w:rStyle w:val="FootnoteReference"/>
        </w:rPr>
        <w:footnoteReference w:id="18"/>
      </w:r>
      <w:r w:rsidR="003959A2">
        <w:t xml:space="preserve">  The guidelines also specify a base forfeiture amount of $10,000 for each incident of construction and operation without an instrument of authorization for the service.</w:t>
      </w:r>
      <w:r>
        <w:rPr>
          <w:rStyle w:val="FootnoteReference"/>
        </w:rPr>
        <w:footnoteReference w:id="19"/>
      </w:r>
      <w:r w:rsidR="003959A2">
        <w:t xml:space="preserve"> </w:t>
      </w:r>
      <w:r w:rsidRPr="003959A2">
        <w:t xml:space="preserve">In assessing forfeitures, </w:t>
      </w:r>
      <w:r w:rsidRPr="003959A2" w:rsidR="003959A2">
        <w:rPr>
          <w:szCs w:val="22"/>
        </w:rPr>
        <w:t xml:space="preserve">we may adjust the base amount upward or downward by considering the factors enumerated in </w:t>
      </w:r>
      <w:r w:rsidRPr="003959A2" w:rsidR="00A87645">
        <w:t>s</w:t>
      </w:r>
      <w:r w:rsidRPr="003959A2">
        <w:t>ection 503(b)(2</w:t>
      </w:r>
      <w:r w:rsidRPr="003959A2" w:rsidR="00C42C83">
        <w:t>)</w:t>
      </w:r>
      <w:r w:rsidRPr="003959A2">
        <w:t xml:space="preserve"> of the Act</w:t>
      </w:r>
      <w:r w:rsidR="003959A2">
        <w:t>, including “</w:t>
      </w:r>
      <w:r w:rsidRPr="003959A2">
        <w:t>the nature, circumstances, extent and gravity of the violation and, with respect to the violator, the degree of culpability, any history of prior offenses, ability to pay, and such other matters as justice may require.</w:t>
      </w:r>
      <w:r w:rsidR="003959A2">
        <w:t>”</w:t>
      </w:r>
      <w:r>
        <w:rPr>
          <w:vertAlign w:val="superscript"/>
        </w:rPr>
        <w:footnoteReference w:id="20"/>
      </w:r>
    </w:p>
    <w:p w:rsidR="00ED2DBD" w:rsidRPr="003959A2" w:rsidP="00ED2DBD" w14:paraId="3388FAA1" w14:textId="5AB833CB">
      <w:pPr>
        <w:pStyle w:val="ParaNum"/>
        <w:rPr>
          <w:szCs w:val="22"/>
        </w:rPr>
      </w:pPr>
      <w:r w:rsidRPr="003959A2">
        <w:rPr>
          <w:szCs w:val="22"/>
        </w:rPr>
        <w:t>Here, RBI does not claim inability to pay nor does it claim that the forfeiture was imposed in error.  RBI only argues that the forfeiture amount was excessive</w:t>
      </w:r>
      <w:r w:rsidR="00E51AFD">
        <w:rPr>
          <w:szCs w:val="22"/>
        </w:rPr>
        <w:t xml:space="preserve"> and its violations inadvertent</w:t>
      </w:r>
      <w:r w:rsidRPr="003959A2">
        <w:rPr>
          <w:szCs w:val="22"/>
        </w:rPr>
        <w:t>.</w:t>
      </w:r>
      <w:r>
        <w:rPr>
          <w:rStyle w:val="FootnoteReference"/>
          <w:sz w:val="22"/>
          <w:szCs w:val="22"/>
        </w:rPr>
        <w:footnoteReference w:id="21"/>
      </w:r>
      <w:r w:rsidRPr="003959A2">
        <w:rPr>
          <w:szCs w:val="22"/>
        </w:rPr>
        <w:t xml:space="preserve">  </w:t>
      </w:r>
      <w:r w:rsidRPr="003959A2" w:rsidR="00D7153B">
        <w:rPr>
          <w:szCs w:val="22"/>
        </w:rPr>
        <w:t xml:space="preserve">First, RBI argues </w:t>
      </w:r>
      <w:r w:rsidRPr="003959A2" w:rsidR="001E26B1">
        <w:rPr>
          <w:szCs w:val="22"/>
        </w:rPr>
        <w:t xml:space="preserve">that the forfeiture </w:t>
      </w:r>
      <w:r w:rsidRPr="003959A2" w:rsidR="00D7153B">
        <w:rPr>
          <w:szCs w:val="22"/>
        </w:rPr>
        <w:t xml:space="preserve">is excessive because it is being “'targeted’ because of </w:t>
      </w:r>
      <w:r w:rsidRPr="003959A2" w:rsidR="00D7153B">
        <w:rPr>
          <w:szCs w:val="22"/>
        </w:rPr>
        <w:t>its past error.”</w:t>
      </w:r>
      <w:r>
        <w:rPr>
          <w:rStyle w:val="FootnoteReference"/>
          <w:sz w:val="22"/>
          <w:szCs w:val="22"/>
        </w:rPr>
        <w:footnoteReference w:id="22"/>
      </w:r>
      <w:r w:rsidRPr="003959A2" w:rsidR="00D7153B">
        <w:rPr>
          <w:szCs w:val="22"/>
        </w:rPr>
        <w:t xml:space="preserve">  </w:t>
      </w:r>
      <w:r w:rsidRPr="003959A2">
        <w:rPr>
          <w:szCs w:val="22"/>
        </w:rPr>
        <w:t>However,</w:t>
      </w:r>
      <w:r w:rsidRPr="003959A2" w:rsidR="00D7153B">
        <w:rPr>
          <w:szCs w:val="22"/>
        </w:rPr>
        <w:t xml:space="preserve"> as discussed above and in the </w:t>
      </w:r>
      <w:r w:rsidRPr="003959A2" w:rsidR="00D7153B">
        <w:rPr>
          <w:i/>
          <w:iCs/>
          <w:szCs w:val="22"/>
        </w:rPr>
        <w:t>NAL</w:t>
      </w:r>
      <w:r w:rsidRPr="003959A2" w:rsidR="00126708">
        <w:rPr>
          <w:szCs w:val="22"/>
        </w:rPr>
        <w:t>,</w:t>
      </w:r>
      <w:r w:rsidRPr="003959A2" w:rsidR="00D7153B">
        <w:rPr>
          <w:szCs w:val="22"/>
        </w:rPr>
        <w:t xml:space="preserve"> taking </w:t>
      </w:r>
      <w:r w:rsidRPr="003959A2" w:rsidR="00C122A3">
        <w:rPr>
          <w:szCs w:val="22"/>
        </w:rPr>
        <w:t xml:space="preserve">into account a licensee’s history of prior offenses when determining an appropriate forfeiture amount is within the Bureau’s discretion </w:t>
      </w:r>
      <w:r w:rsidRPr="003959A2" w:rsidR="00D7153B">
        <w:rPr>
          <w:szCs w:val="22"/>
        </w:rPr>
        <w:t xml:space="preserve">and consistent with the standards set forth in </w:t>
      </w:r>
      <w:r w:rsidRPr="003959A2" w:rsidR="00C122A3">
        <w:rPr>
          <w:szCs w:val="22"/>
        </w:rPr>
        <w:t xml:space="preserve">the Act, the </w:t>
      </w:r>
      <w:r w:rsidRPr="003959A2" w:rsidR="00D7153B">
        <w:rPr>
          <w:szCs w:val="22"/>
        </w:rPr>
        <w:t>R</w:t>
      </w:r>
      <w:r w:rsidRPr="003959A2" w:rsidR="00C122A3">
        <w:rPr>
          <w:szCs w:val="22"/>
        </w:rPr>
        <w:t>ules</w:t>
      </w:r>
      <w:r w:rsidR="00E51AFD">
        <w:rPr>
          <w:szCs w:val="22"/>
        </w:rPr>
        <w:t>,</w:t>
      </w:r>
      <w:r w:rsidRPr="003959A2" w:rsidR="00C122A3">
        <w:rPr>
          <w:szCs w:val="22"/>
        </w:rPr>
        <w:t xml:space="preserve"> and </w:t>
      </w:r>
      <w:r w:rsidRPr="003959A2" w:rsidR="00C122A3">
        <w:rPr>
          <w:i/>
          <w:iCs/>
          <w:szCs w:val="22"/>
        </w:rPr>
        <w:t>Forfeiture Policy Statement</w:t>
      </w:r>
      <w:r w:rsidRPr="003959A2" w:rsidR="00D7153B">
        <w:rPr>
          <w:szCs w:val="22"/>
        </w:rPr>
        <w:t>.</w:t>
      </w:r>
      <w:r w:rsidRPr="003959A2" w:rsidR="00B02842">
        <w:rPr>
          <w:szCs w:val="22"/>
        </w:rPr>
        <w:t xml:space="preserve">  </w:t>
      </w:r>
      <w:r w:rsidRPr="003959A2" w:rsidR="00C122A3">
        <w:rPr>
          <w:szCs w:val="22"/>
        </w:rPr>
        <w:t>This is not</w:t>
      </w:r>
      <w:r w:rsidRPr="003959A2" w:rsidR="00D7153B">
        <w:rPr>
          <w:szCs w:val="22"/>
        </w:rPr>
        <w:t xml:space="preserve"> the Bureau targeting RBI</w:t>
      </w:r>
      <w:r w:rsidRPr="003959A2" w:rsidR="00E47253">
        <w:rPr>
          <w:szCs w:val="22"/>
        </w:rPr>
        <w:t>, but taking all facts into account when determining an appropriate forfeiture amount</w:t>
      </w:r>
      <w:r w:rsidRPr="003959A2" w:rsidR="00D7153B">
        <w:rPr>
          <w:szCs w:val="22"/>
        </w:rPr>
        <w:t xml:space="preserve">.  </w:t>
      </w:r>
      <w:r w:rsidRPr="003959A2" w:rsidR="00C122A3">
        <w:rPr>
          <w:szCs w:val="22"/>
        </w:rPr>
        <w:t>Further, u</w:t>
      </w:r>
      <w:r w:rsidRPr="003959A2" w:rsidR="00904E58">
        <w:rPr>
          <w:szCs w:val="22"/>
        </w:rPr>
        <w:t xml:space="preserve">nlike the </w:t>
      </w:r>
      <w:r w:rsidRPr="003959A2" w:rsidR="00D7153B">
        <w:rPr>
          <w:szCs w:val="22"/>
        </w:rPr>
        <w:t>cases</w:t>
      </w:r>
      <w:r w:rsidRPr="003959A2" w:rsidR="00904E58">
        <w:rPr>
          <w:szCs w:val="22"/>
        </w:rPr>
        <w:t xml:space="preserve"> cited by RBI,</w:t>
      </w:r>
      <w:r w:rsidRPr="003959A2" w:rsidR="00D7153B">
        <w:rPr>
          <w:szCs w:val="22"/>
        </w:rPr>
        <w:t xml:space="preserve"> which the Bureau itself cited,</w:t>
      </w:r>
      <w:r>
        <w:rPr>
          <w:rStyle w:val="FootnoteReference"/>
          <w:sz w:val="22"/>
          <w:szCs w:val="22"/>
        </w:rPr>
        <w:footnoteReference w:id="23"/>
      </w:r>
      <w:r w:rsidRPr="003959A2" w:rsidR="00D7153B">
        <w:rPr>
          <w:szCs w:val="22"/>
        </w:rPr>
        <w:t xml:space="preserve"> </w:t>
      </w:r>
      <w:r w:rsidRPr="003959A2" w:rsidR="00C122A3">
        <w:rPr>
          <w:szCs w:val="22"/>
        </w:rPr>
        <w:t xml:space="preserve">none of them </w:t>
      </w:r>
      <w:r w:rsidRPr="003959A2" w:rsidR="00D7153B">
        <w:rPr>
          <w:szCs w:val="22"/>
        </w:rPr>
        <w:t>involved a situation where there was</w:t>
      </w:r>
      <w:r w:rsidRPr="003959A2" w:rsidR="00C122A3">
        <w:rPr>
          <w:szCs w:val="22"/>
        </w:rPr>
        <w:t xml:space="preserve"> a history of prior violations</w:t>
      </w:r>
      <w:r w:rsidRPr="003959A2" w:rsidR="00B02842">
        <w:rPr>
          <w:szCs w:val="22"/>
        </w:rPr>
        <w:t>,</w:t>
      </w:r>
      <w:r w:rsidRPr="003959A2" w:rsidR="00C122A3">
        <w:rPr>
          <w:szCs w:val="22"/>
        </w:rPr>
        <w:t xml:space="preserve"> as is present here</w:t>
      </w:r>
      <w:r w:rsidRPr="003959A2" w:rsidR="00B02842">
        <w:rPr>
          <w:szCs w:val="22"/>
        </w:rPr>
        <w:t>,</w:t>
      </w:r>
      <w:r w:rsidRPr="003959A2" w:rsidR="00C122A3">
        <w:rPr>
          <w:szCs w:val="22"/>
        </w:rPr>
        <w:t xml:space="preserve"> and</w:t>
      </w:r>
      <w:r w:rsidRPr="003959A2" w:rsidR="00904E58">
        <w:rPr>
          <w:szCs w:val="22"/>
        </w:rPr>
        <w:t xml:space="preserve"> </w:t>
      </w:r>
      <w:r w:rsidRPr="003959A2">
        <w:rPr>
          <w:szCs w:val="22"/>
        </w:rPr>
        <w:t>all involved single instances of unauthorized operation and failure to timely file an application</w:t>
      </w:r>
      <w:r w:rsidRPr="003959A2" w:rsidR="00B02842">
        <w:rPr>
          <w:szCs w:val="22"/>
        </w:rPr>
        <w:t xml:space="preserve">, as opposed to the </w:t>
      </w:r>
      <w:r w:rsidRPr="003959A2">
        <w:rPr>
          <w:szCs w:val="22"/>
        </w:rPr>
        <w:t xml:space="preserve"> multiple violations found</w:t>
      </w:r>
      <w:r w:rsidRPr="003959A2" w:rsidR="00B02842">
        <w:rPr>
          <w:szCs w:val="22"/>
        </w:rPr>
        <w:t xml:space="preserve"> here.</w:t>
      </w:r>
      <w:r>
        <w:rPr>
          <w:rStyle w:val="FootnoteReference"/>
          <w:sz w:val="22"/>
          <w:szCs w:val="22"/>
        </w:rPr>
        <w:footnoteReference w:id="24"/>
      </w:r>
      <w:r w:rsidRPr="003959A2" w:rsidR="00B02842">
        <w:rPr>
          <w:szCs w:val="22"/>
        </w:rPr>
        <w:t xml:space="preserve">  These</w:t>
      </w:r>
      <w:r w:rsidRPr="003959A2" w:rsidR="00D7153B">
        <w:rPr>
          <w:szCs w:val="22"/>
        </w:rPr>
        <w:t xml:space="preserve"> distinctions are what </w:t>
      </w:r>
      <w:r w:rsidRPr="003959A2" w:rsidR="00B02842">
        <w:rPr>
          <w:szCs w:val="22"/>
        </w:rPr>
        <w:t xml:space="preserve">led </w:t>
      </w:r>
      <w:r w:rsidRPr="003959A2" w:rsidR="00D7153B">
        <w:rPr>
          <w:szCs w:val="22"/>
        </w:rPr>
        <w:t>the</w:t>
      </w:r>
      <w:r w:rsidRPr="003959A2" w:rsidR="00B02842">
        <w:rPr>
          <w:szCs w:val="22"/>
        </w:rPr>
        <w:t xml:space="preserve"> Bureau </w:t>
      </w:r>
      <w:r w:rsidRPr="003959A2" w:rsidR="00D7153B">
        <w:rPr>
          <w:szCs w:val="22"/>
        </w:rPr>
        <w:t xml:space="preserve">to </w:t>
      </w:r>
      <w:r w:rsidRPr="003959A2" w:rsidR="00B02842">
        <w:rPr>
          <w:szCs w:val="22"/>
        </w:rPr>
        <w:t xml:space="preserve">find that </w:t>
      </w:r>
      <w:r w:rsidRPr="003959A2">
        <w:rPr>
          <w:szCs w:val="22"/>
        </w:rPr>
        <w:t>a larger</w:t>
      </w:r>
      <w:r w:rsidRPr="003959A2" w:rsidR="00B02842">
        <w:rPr>
          <w:szCs w:val="22"/>
        </w:rPr>
        <w:t xml:space="preserve"> proposed</w:t>
      </w:r>
      <w:r w:rsidRPr="003959A2">
        <w:rPr>
          <w:szCs w:val="22"/>
        </w:rPr>
        <w:t xml:space="preserve"> forfeiture</w:t>
      </w:r>
      <w:r w:rsidRPr="003959A2" w:rsidR="00D7153B">
        <w:rPr>
          <w:szCs w:val="22"/>
        </w:rPr>
        <w:t xml:space="preserve"> was</w:t>
      </w:r>
      <w:r w:rsidRPr="003959A2" w:rsidR="00B02842">
        <w:rPr>
          <w:szCs w:val="22"/>
        </w:rPr>
        <w:t xml:space="preserve"> </w:t>
      </w:r>
      <w:r w:rsidRPr="003959A2" w:rsidR="00904E58">
        <w:rPr>
          <w:szCs w:val="22"/>
        </w:rPr>
        <w:t>appropriate</w:t>
      </w:r>
      <w:r w:rsidRPr="003959A2">
        <w:rPr>
          <w:szCs w:val="22"/>
        </w:rPr>
        <w:t>.</w:t>
      </w:r>
      <w:r w:rsidRPr="003959A2" w:rsidR="001213BF">
        <w:rPr>
          <w:szCs w:val="22"/>
        </w:rPr>
        <w:t xml:space="preserve">  </w:t>
      </w:r>
    </w:p>
    <w:p w:rsidR="008F6E01" w:rsidRPr="003959A2" w:rsidP="00A54B35" w14:paraId="780CADB0" w14:textId="3F6DCE5B">
      <w:pPr>
        <w:pStyle w:val="ParaNum"/>
        <w:rPr>
          <w:szCs w:val="22"/>
        </w:rPr>
      </w:pPr>
      <w:r w:rsidRPr="003959A2">
        <w:rPr>
          <w:szCs w:val="22"/>
        </w:rPr>
        <w:t xml:space="preserve">Second, in arguing that the fine was excessive </w:t>
      </w:r>
      <w:r w:rsidRPr="003959A2" w:rsidR="00ED2DBD">
        <w:rPr>
          <w:szCs w:val="22"/>
        </w:rPr>
        <w:t>RBI</w:t>
      </w:r>
      <w:r w:rsidRPr="003959A2" w:rsidR="001E624F">
        <w:rPr>
          <w:szCs w:val="22"/>
        </w:rPr>
        <w:t xml:space="preserve"> </w:t>
      </w:r>
      <w:r w:rsidRPr="003959A2" w:rsidR="00AA7440">
        <w:rPr>
          <w:szCs w:val="22"/>
        </w:rPr>
        <w:t xml:space="preserve">contends </w:t>
      </w:r>
      <w:r w:rsidRPr="003959A2" w:rsidR="00ED2DBD">
        <w:rPr>
          <w:szCs w:val="22"/>
        </w:rPr>
        <w:t>that its violations were</w:t>
      </w:r>
      <w:r w:rsidR="00E51AFD">
        <w:rPr>
          <w:szCs w:val="22"/>
        </w:rPr>
        <w:t xml:space="preserve"> inadvertent,</w:t>
      </w:r>
      <w:r w:rsidRPr="003959A2" w:rsidR="00ED2DBD">
        <w:rPr>
          <w:szCs w:val="22"/>
        </w:rPr>
        <w:t xml:space="preserve"> not </w:t>
      </w:r>
      <w:r w:rsidRPr="003959A2" w:rsidR="001E624F">
        <w:rPr>
          <w:szCs w:val="22"/>
        </w:rPr>
        <w:t>intentional</w:t>
      </w:r>
      <w:r w:rsidR="00E51AFD">
        <w:rPr>
          <w:szCs w:val="22"/>
        </w:rPr>
        <w:t>,</w:t>
      </w:r>
      <w:r w:rsidRPr="003959A2" w:rsidR="002E3827">
        <w:rPr>
          <w:szCs w:val="22"/>
        </w:rPr>
        <w:t xml:space="preserve"> and </w:t>
      </w:r>
      <w:r w:rsidRPr="003959A2" w:rsidR="00ED78F9">
        <w:rPr>
          <w:szCs w:val="22"/>
        </w:rPr>
        <w:t xml:space="preserve">that there was no actual harm that </w:t>
      </w:r>
      <w:r w:rsidRPr="003959A2" w:rsidR="00ED78F9">
        <w:rPr>
          <w:i/>
          <w:iCs/>
          <w:szCs w:val="22"/>
        </w:rPr>
        <w:t>resulted</w:t>
      </w:r>
      <w:r w:rsidRPr="003959A2" w:rsidR="00ED78F9">
        <w:rPr>
          <w:szCs w:val="22"/>
        </w:rPr>
        <w:t xml:space="preserve"> from its failure</w:t>
      </w:r>
      <w:r w:rsidRPr="003959A2">
        <w:rPr>
          <w:szCs w:val="22"/>
        </w:rPr>
        <w:t>.</w:t>
      </w:r>
      <w:r w:rsidRPr="003959A2" w:rsidR="00A54B35">
        <w:rPr>
          <w:szCs w:val="22"/>
        </w:rPr>
        <w:t xml:space="preserve">  </w:t>
      </w:r>
      <w:r w:rsidRPr="003959A2">
        <w:rPr>
          <w:szCs w:val="22"/>
        </w:rPr>
        <w:t>S</w:t>
      </w:r>
      <w:r w:rsidRPr="003959A2" w:rsidR="00CB556B">
        <w:rPr>
          <w:szCs w:val="22"/>
        </w:rPr>
        <w:t xml:space="preserve">ection 312(f)(1) of the Act defines “willful” as the “conscious and deliberate commission or </w:t>
      </w:r>
      <w:r w:rsidRPr="003959A2" w:rsidR="00CB556B">
        <w:rPr>
          <w:i/>
          <w:iCs/>
          <w:szCs w:val="22"/>
        </w:rPr>
        <w:t>omission</w:t>
      </w:r>
      <w:r w:rsidRPr="003959A2" w:rsidR="00CB556B">
        <w:rPr>
          <w:szCs w:val="22"/>
        </w:rPr>
        <w:t xml:space="preserve"> of [any] act, </w:t>
      </w:r>
      <w:r w:rsidRPr="003959A2" w:rsidR="00CB556B">
        <w:rPr>
          <w:i/>
          <w:iCs/>
          <w:szCs w:val="22"/>
        </w:rPr>
        <w:t>irrespective of any intent to violate</w:t>
      </w:r>
      <w:r w:rsidRPr="003959A2" w:rsidR="00CB556B">
        <w:rPr>
          <w:szCs w:val="22"/>
        </w:rPr>
        <w:t>” the law.</w:t>
      </w:r>
      <w:r>
        <w:rPr>
          <w:rStyle w:val="FootnoteReference"/>
          <w:sz w:val="22"/>
          <w:szCs w:val="22"/>
        </w:rPr>
        <w:footnoteReference w:id="25"/>
      </w:r>
      <w:r w:rsidRPr="003959A2" w:rsidR="008369D8">
        <w:rPr>
          <w:szCs w:val="22"/>
        </w:rPr>
        <w:t xml:space="preserve">  </w:t>
      </w:r>
      <w:r w:rsidRPr="003959A2" w:rsidR="00CB556B">
        <w:rPr>
          <w:szCs w:val="22"/>
        </w:rPr>
        <w:t>The legislative</w:t>
      </w:r>
      <w:r w:rsidRPr="003959A2" w:rsidR="008369D8">
        <w:rPr>
          <w:szCs w:val="22"/>
        </w:rPr>
        <w:t xml:space="preserve"> </w:t>
      </w:r>
      <w:r w:rsidRPr="003959A2" w:rsidR="00CB556B">
        <w:rPr>
          <w:szCs w:val="22"/>
        </w:rPr>
        <w:t>history to Section 312(f)(1) of the Act clarifies</w:t>
      </w:r>
      <w:r w:rsidRPr="003959A2" w:rsidR="008369D8">
        <w:rPr>
          <w:szCs w:val="22"/>
        </w:rPr>
        <w:t xml:space="preserve"> that,  “[a]s defined . . . ‘willful’ means that the licensee knew that he was doing the act in question, regardless of whether there was an intent to violate the law.”</w:t>
      </w:r>
      <w:r>
        <w:rPr>
          <w:rStyle w:val="FootnoteReference"/>
          <w:sz w:val="22"/>
          <w:szCs w:val="22"/>
        </w:rPr>
        <w:footnoteReference w:id="26"/>
      </w:r>
      <w:r w:rsidRPr="003959A2" w:rsidR="008369D8">
        <w:rPr>
          <w:szCs w:val="22"/>
        </w:rPr>
        <w:t xml:space="preserve"> </w:t>
      </w:r>
      <w:r w:rsidRPr="003959A2" w:rsidR="001E624F">
        <w:rPr>
          <w:szCs w:val="22"/>
        </w:rPr>
        <w:t xml:space="preserve"> </w:t>
      </w:r>
      <w:r w:rsidRPr="003959A2" w:rsidR="00A54B35">
        <w:rPr>
          <w:szCs w:val="22"/>
        </w:rPr>
        <w:t>T</w:t>
      </w:r>
      <w:r w:rsidRPr="003959A2" w:rsidR="002E3827">
        <w:rPr>
          <w:szCs w:val="22"/>
        </w:rPr>
        <w:t xml:space="preserve">he Commission has </w:t>
      </w:r>
      <w:r w:rsidRPr="003959A2" w:rsidR="00A54B35">
        <w:rPr>
          <w:szCs w:val="22"/>
        </w:rPr>
        <w:t xml:space="preserve">also </w:t>
      </w:r>
      <w:r w:rsidRPr="003959A2" w:rsidR="002E3827">
        <w:rPr>
          <w:szCs w:val="22"/>
        </w:rPr>
        <w:t>determined that “inadvertence . . . is at best, ignorance of the law, which the Commission does not consider a mitigating circumstance.”</w:t>
      </w:r>
      <w:r>
        <w:rPr>
          <w:rStyle w:val="FootnoteReference"/>
          <w:sz w:val="22"/>
          <w:szCs w:val="22"/>
        </w:rPr>
        <w:footnoteReference w:id="27"/>
      </w:r>
      <w:r w:rsidRPr="003959A2" w:rsidR="002E3827">
        <w:rPr>
          <w:szCs w:val="22"/>
        </w:rPr>
        <w:t xml:space="preserve">  </w:t>
      </w:r>
      <w:r w:rsidRPr="003959A2" w:rsidR="0045059F">
        <w:rPr>
          <w:szCs w:val="22"/>
        </w:rPr>
        <w:t xml:space="preserve">As such, RBI’s assertion that it did not intend to violate the law is unavailing.  </w:t>
      </w:r>
    </w:p>
    <w:p w:rsidR="00FA1409" w:rsidRPr="003959A2" w:rsidP="00B81DA2" w14:paraId="4C5E14F4" w14:textId="16061D77">
      <w:pPr>
        <w:pStyle w:val="ParaNum"/>
        <w:rPr>
          <w:szCs w:val="22"/>
        </w:rPr>
      </w:pPr>
      <w:r w:rsidRPr="003959A2">
        <w:rPr>
          <w:szCs w:val="22"/>
        </w:rPr>
        <w:t xml:space="preserve">RBI </w:t>
      </w:r>
      <w:r w:rsidRPr="003959A2" w:rsidR="0045059F">
        <w:rPr>
          <w:szCs w:val="22"/>
        </w:rPr>
        <w:t xml:space="preserve">goes on to </w:t>
      </w:r>
      <w:r w:rsidRPr="003959A2">
        <w:rPr>
          <w:szCs w:val="22"/>
        </w:rPr>
        <w:t>argue that “[t]he Commission has previously offered relief when inadvertence was the cause of an FCC problem” and provides</w:t>
      </w:r>
      <w:r w:rsidRPr="003959A2" w:rsidR="00AA7440">
        <w:rPr>
          <w:szCs w:val="22"/>
        </w:rPr>
        <w:t xml:space="preserve"> citations to </w:t>
      </w:r>
      <w:r w:rsidRPr="003959A2" w:rsidR="009D17F8">
        <w:rPr>
          <w:szCs w:val="22"/>
        </w:rPr>
        <w:t>the Commission’s</w:t>
      </w:r>
      <w:r w:rsidRPr="003959A2" w:rsidR="005F4ABB">
        <w:rPr>
          <w:szCs w:val="22"/>
        </w:rPr>
        <w:t xml:space="preserve"> </w:t>
      </w:r>
      <w:r w:rsidRPr="003959A2" w:rsidR="009D17F8">
        <w:rPr>
          <w:i/>
          <w:szCs w:val="22"/>
        </w:rPr>
        <w:t>Bishop Perry</w:t>
      </w:r>
      <w:r w:rsidRPr="003959A2" w:rsidR="009D17F8">
        <w:rPr>
          <w:szCs w:val="22"/>
        </w:rPr>
        <w:t xml:space="preserve"> case</w:t>
      </w:r>
      <w:r w:rsidRPr="003959A2" w:rsidR="00CB304F">
        <w:rPr>
          <w:szCs w:val="22"/>
        </w:rPr>
        <w:t xml:space="preserve"> </w:t>
      </w:r>
      <w:r w:rsidRPr="003959A2" w:rsidR="005F4ABB">
        <w:rPr>
          <w:szCs w:val="22"/>
        </w:rPr>
        <w:t xml:space="preserve">and a </w:t>
      </w:r>
      <w:r w:rsidRPr="003959A2" w:rsidR="00212D07">
        <w:rPr>
          <w:szCs w:val="22"/>
        </w:rPr>
        <w:t xml:space="preserve">subsequent </w:t>
      </w:r>
      <w:r w:rsidRPr="003959A2" w:rsidR="00212D07">
        <w:rPr>
          <w:i/>
          <w:szCs w:val="22"/>
        </w:rPr>
        <w:t>Brewster Academy</w:t>
      </w:r>
      <w:r w:rsidRPr="003959A2" w:rsidR="005F4ABB">
        <w:rPr>
          <w:szCs w:val="22"/>
        </w:rPr>
        <w:t xml:space="preserve"> </w:t>
      </w:r>
      <w:r w:rsidRPr="003959A2" w:rsidR="00212D07">
        <w:rPr>
          <w:szCs w:val="22"/>
        </w:rPr>
        <w:t>case</w:t>
      </w:r>
      <w:r w:rsidRPr="003959A2" w:rsidR="005F4ABB">
        <w:rPr>
          <w:szCs w:val="22"/>
        </w:rPr>
        <w:t xml:space="preserve"> that </w:t>
      </w:r>
      <w:r w:rsidRPr="003959A2" w:rsidR="00CB304F">
        <w:rPr>
          <w:szCs w:val="22"/>
        </w:rPr>
        <w:t>relies</w:t>
      </w:r>
      <w:r w:rsidRPr="003959A2" w:rsidR="005F4ABB">
        <w:rPr>
          <w:szCs w:val="22"/>
        </w:rPr>
        <w:t xml:space="preserve"> </w:t>
      </w:r>
      <w:r w:rsidRPr="003959A2" w:rsidR="007C1D08">
        <w:rPr>
          <w:szCs w:val="22"/>
        </w:rPr>
        <w:t xml:space="preserve">on the Commission’s findings in </w:t>
      </w:r>
      <w:r w:rsidRPr="003959A2" w:rsidR="00CB304F">
        <w:rPr>
          <w:i/>
          <w:szCs w:val="22"/>
        </w:rPr>
        <w:t>Bishop Perry</w:t>
      </w:r>
      <w:r w:rsidRPr="003959A2" w:rsidR="00CB304F">
        <w:rPr>
          <w:szCs w:val="22"/>
        </w:rPr>
        <w:t>.</w:t>
      </w:r>
      <w:r>
        <w:rPr>
          <w:rStyle w:val="FootnoteReference"/>
          <w:sz w:val="22"/>
          <w:szCs w:val="22"/>
        </w:rPr>
        <w:footnoteReference w:id="28"/>
      </w:r>
      <w:r w:rsidRPr="003959A2" w:rsidR="00CB304F">
        <w:rPr>
          <w:szCs w:val="22"/>
        </w:rPr>
        <w:t xml:space="preserve">  </w:t>
      </w:r>
      <w:r w:rsidRPr="003959A2" w:rsidR="00455CE5">
        <w:rPr>
          <w:szCs w:val="22"/>
        </w:rPr>
        <w:t xml:space="preserve">Not only does RBI fail to explain how these cases </w:t>
      </w:r>
      <w:r w:rsidRPr="003959A2" w:rsidR="00B26A91">
        <w:rPr>
          <w:szCs w:val="22"/>
        </w:rPr>
        <w:t xml:space="preserve">support </w:t>
      </w:r>
      <w:r w:rsidRPr="003959A2" w:rsidR="00455CE5">
        <w:rPr>
          <w:szCs w:val="22"/>
        </w:rPr>
        <w:t xml:space="preserve">its request for a forfeiture reduction, but on their face we find the cases do not </w:t>
      </w:r>
      <w:r w:rsidRPr="003959A2" w:rsidR="00E07965">
        <w:rPr>
          <w:szCs w:val="22"/>
        </w:rPr>
        <w:t>justify</w:t>
      </w:r>
      <w:r w:rsidRPr="003959A2" w:rsidR="00455CE5">
        <w:rPr>
          <w:szCs w:val="22"/>
        </w:rPr>
        <w:t xml:space="preserve"> relief in this case.  </w:t>
      </w:r>
      <w:r w:rsidRPr="003959A2" w:rsidR="00D90B91">
        <w:rPr>
          <w:szCs w:val="22"/>
        </w:rPr>
        <w:t>Both cases dealt with appeals of Universal Service Administrative Company decisions denying E-rate program applications for inadvertent clerical, ministerial</w:t>
      </w:r>
      <w:r w:rsidRPr="003959A2" w:rsidR="00B47910">
        <w:rPr>
          <w:szCs w:val="22"/>
        </w:rPr>
        <w:t>,</w:t>
      </w:r>
      <w:r w:rsidRPr="003959A2" w:rsidR="00D90B91">
        <w:rPr>
          <w:szCs w:val="22"/>
        </w:rPr>
        <w:t xml:space="preserve"> and procedural errors.  </w:t>
      </w:r>
      <w:r w:rsidRPr="003959A2" w:rsidR="00455CE5">
        <w:rPr>
          <w:szCs w:val="22"/>
        </w:rPr>
        <w:t xml:space="preserve">In </w:t>
      </w:r>
      <w:r w:rsidRPr="003959A2" w:rsidR="00CB304F">
        <w:rPr>
          <w:i/>
          <w:szCs w:val="22"/>
        </w:rPr>
        <w:t>Bishop Perry</w:t>
      </w:r>
      <w:r w:rsidRPr="003959A2" w:rsidR="00212D07">
        <w:rPr>
          <w:szCs w:val="22"/>
        </w:rPr>
        <w:t>,</w:t>
      </w:r>
      <w:r w:rsidRPr="003959A2" w:rsidR="009D17F8">
        <w:rPr>
          <w:szCs w:val="22"/>
        </w:rPr>
        <w:t xml:space="preserve"> the Commission determined that it was in the public </w:t>
      </w:r>
      <w:r w:rsidRPr="003959A2" w:rsidR="009D17F8">
        <w:rPr>
          <w:szCs w:val="22"/>
        </w:rPr>
        <w:t xml:space="preserve">interest to permit </w:t>
      </w:r>
      <w:r w:rsidRPr="003959A2" w:rsidR="00CB304F">
        <w:rPr>
          <w:szCs w:val="22"/>
        </w:rPr>
        <w:t>otherwise eligible E-rate applications to cure clerical, ministerial or procedural error.</w:t>
      </w:r>
      <w:r>
        <w:rPr>
          <w:rStyle w:val="FootnoteReference"/>
          <w:sz w:val="22"/>
          <w:szCs w:val="22"/>
        </w:rPr>
        <w:footnoteReference w:id="29"/>
      </w:r>
      <w:r w:rsidRPr="003959A2" w:rsidR="00CB304F">
        <w:rPr>
          <w:szCs w:val="22"/>
        </w:rPr>
        <w:t xml:space="preserve"> </w:t>
      </w:r>
      <w:r w:rsidRPr="003959A2" w:rsidR="00817892">
        <w:rPr>
          <w:szCs w:val="22"/>
        </w:rPr>
        <w:t xml:space="preserve">The Commission also </w:t>
      </w:r>
      <w:r w:rsidRPr="003959A2" w:rsidR="00B81DA2">
        <w:rPr>
          <w:szCs w:val="22"/>
        </w:rPr>
        <w:t>found that a “slight delay” in the receipt of E-rate applications does not warrant the complete rejection of them.</w:t>
      </w:r>
      <w:r>
        <w:rPr>
          <w:rStyle w:val="FootnoteReference"/>
          <w:sz w:val="22"/>
          <w:szCs w:val="22"/>
        </w:rPr>
        <w:footnoteReference w:id="30"/>
      </w:r>
      <w:r w:rsidRPr="003959A2" w:rsidR="00BB7476">
        <w:rPr>
          <w:szCs w:val="22"/>
        </w:rPr>
        <w:t xml:space="preserve">  </w:t>
      </w:r>
      <w:r w:rsidRPr="003959A2" w:rsidR="009D17F8">
        <w:rPr>
          <w:szCs w:val="22"/>
        </w:rPr>
        <w:t xml:space="preserve">However, </w:t>
      </w:r>
      <w:r w:rsidRPr="003959A2" w:rsidR="007240F4">
        <w:rPr>
          <w:szCs w:val="22"/>
        </w:rPr>
        <w:t>in arriving at its conclusion in</w:t>
      </w:r>
      <w:r w:rsidRPr="003959A2" w:rsidR="00BC79DB">
        <w:rPr>
          <w:szCs w:val="22"/>
        </w:rPr>
        <w:t xml:space="preserve"> </w:t>
      </w:r>
      <w:r w:rsidRPr="003959A2" w:rsidR="00BC79DB">
        <w:rPr>
          <w:i/>
          <w:szCs w:val="22"/>
        </w:rPr>
        <w:t>Bishop Perry</w:t>
      </w:r>
      <w:r w:rsidRPr="003959A2" w:rsidR="007240F4">
        <w:rPr>
          <w:szCs w:val="22"/>
        </w:rPr>
        <w:t xml:space="preserve">, </w:t>
      </w:r>
      <w:r w:rsidRPr="003959A2" w:rsidR="004545F2">
        <w:rPr>
          <w:szCs w:val="22"/>
        </w:rPr>
        <w:t>the</w:t>
      </w:r>
      <w:r w:rsidRPr="003959A2" w:rsidR="007240F4">
        <w:rPr>
          <w:szCs w:val="22"/>
        </w:rPr>
        <w:t xml:space="preserve"> </w:t>
      </w:r>
      <w:r w:rsidRPr="003959A2" w:rsidR="009D17F8">
        <w:rPr>
          <w:szCs w:val="22"/>
        </w:rPr>
        <w:t xml:space="preserve">Commission </w:t>
      </w:r>
      <w:r w:rsidRPr="003959A2" w:rsidR="00BC79DB">
        <w:rPr>
          <w:szCs w:val="22"/>
        </w:rPr>
        <w:t>made</w:t>
      </w:r>
      <w:r w:rsidRPr="003959A2" w:rsidR="009D17F8">
        <w:rPr>
          <w:szCs w:val="22"/>
        </w:rPr>
        <w:t xml:space="preserve"> clear that it</w:t>
      </w:r>
      <w:r w:rsidRPr="003959A2" w:rsidR="007240F4">
        <w:rPr>
          <w:szCs w:val="22"/>
        </w:rPr>
        <w:t>s</w:t>
      </w:r>
      <w:r w:rsidRPr="003959A2" w:rsidR="009D17F8">
        <w:rPr>
          <w:szCs w:val="22"/>
        </w:rPr>
        <w:t xml:space="preserve"> decision was based </w:t>
      </w:r>
      <w:r w:rsidRPr="003959A2" w:rsidR="00CB304F">
        <w:rPr>
          <w:szCs w:val="22"/>
        </w:rPr>
        <w:t>“in the context of the purposes of section 254 and cannot be applied generally to other Commission rules that are procedural in nature.”</w:t>
      </w:r>
      <w:r>
        <w:rPr>
          <w:rStyle w:val="FootnoteReference"/>
          <w:sz w:val="22"/>
          <w:szCs w:val="22"/>
        </w:rPr>
        <w:footnoteReference w:id="31"/>
      </w:r>
      <w:r w:rsidRPr="003959A2" w:rsidR="009D17F8">
        <w:rPr>
          <w:szCs w:val="22"/>
        </w:rPr>
        <w:t xml:space="preserve">  </w:t>
      </w:r>
      <w:r w:rsidRPr="003959A2" w:rsidR="004F329A">
        <w:rPr>
          <w:szCs w:val="22"/>
        </w:rPr>
        <w:t xml:space="preserve">The case </w:t>
      </w:r>
      <w:r w:rsidRPr="003959A2" w:rsidR="0085336E">
        <w:rPr>
          <w:szCs w:val="22"/>
        </w:rPr>
        <w:t>before us</w:t>
      </w:r>
      <w:r w:rsidRPr="003959A2" w:rsidR="00453DE0">
        <w:rPr>
          <w:szCs w:val="22"/>
        </w:rPr>
        <w:t xml:space="preserve"> </w:t>
      </w:r>
      <w:r w:rsidRPr="003959A2" w:rsidR="0085336E">
        <w:rPr>
          <w:szCs w:val="22"/>
        </w:rPr>
        <w:t xml:space="preserve">not only </w:t>
      </w:r>
      <w:r w:rsidRPr="003959A2" w:rsidR="00453DE0">
        <w:rPr>
          <w:szCs w:val="22"/>
        </w:rPr>
        <w:t>has</w:t>
      </w:r>
      <w:r w:rsidRPr="003959A2" w:rsidR="004F329A">
        <w:rPr>
          <w:szCs w:val="22"/>
        </w:rPr>
        <w:t xml:space="preserve"> nothing to do with </w:t>
      </w:r>
      <w:r w:rsidRPr="003959A2" w:rsidR="007240F4">
        <w:rPr>
          <w:szCs w:val="22"/>
        </w:rPr>
        <w:t xml:space="preserve">the Commission’s </w:t>
      </w:r>
      <w:r w:rsidRPr="003959A2" w:rsidR="004F329A">
        <w:rPr>
          <w:szCs w:val="22"/>
        </w:rPr>
        <w:t>E-rate program</w:t>
      </w:r>
      <w:r w:rsidRPr="003959A2" w:rsidR="00453DE0">
        <w:rPr>
          <w:szCs w:val="22"/>
        </w:rPr>
        <w:t>, but</w:t>
      </w:r>
      <w:r w:rsidRPr="003959A2" w:rsidR="00273BC7">
        <w:rPr>
          <w:szCs w:val="22"/>
        </w:rPr>
        <w:t xml:space="preserve"> </w:t>
      </w:r>
      <w:r w:rsidRPr="003959A2" w:rsidR="00F2211B">
        <w:rPr>
          <w:szCs w:val="22"/>
        </w:rPr>
        <w:t xml:space="preserve">we find </w:t>
      </w:r>
      <w:r w:rsidR="00E51AFD">
        <w:rPr>
          <w:szCs w:val="22"/>
        </w:rPr>
        <w:t xml:space="preserve">the violations are </w:t>
      </w:r>
      <w:r w:rsidRPr="003959A2" w:rsidR="00453DE0">
        <w:rPr>
          <w:szCs w:val="22"/>
        </w:rPr>
        <w:t>more than procedural</w:t>
      </w:r>
      <w:r w:rsidRPr="003959A2" w:rsidR="00273BC7">
        <w:rPr>
          <w:szCs w:val="22"/>
        </w:rPr>
        <w:t>, ministerial</w:t>
      </w:r>
      <w:r w:rsidRPr="003959A2" w:rsidR="005F167D">
        <w:rPr>
          <w:szCs w:val="22"/>
        </w:rPr>
        <w:t>,</w:t>
      </w:r>
      <w:r w:rsidRPr="003959A2" w:rsidR="00273BC7">
        <w:rPr>
          <w:szCs w:val="22"/>
        </w:rPr>
        <w:t xml:space="preserve"> or clerical </w:t>
      </w:r>
      <w:r w:rsidRPr="003959A2" w:rsidR="00453DE0">
        <w:rPr>
          <w:szCs w:val="22"/>
        </w:rPr>
        <w:t xml:space="preserve">in nature. </w:t>
      </w:r>
    </w:p>
    <w:p w:rsidR="00CC4E35" w:rsidRPr="003959A2" w:rsidP="00685DAF" w14:paraId="10B200E4" w14:textId="5F65C59D">
      <w:pPr>
        <w:pStyle w:val="ParaNum"/>
        <w:rPr>
          <w:szCs w:val="22"/>
        </w:rPr>
      </w:pPr>
      <w:r w:rsidRPr="003959A2">
        <w:rPr>
          <w:szCs w:val="22"/>
        </w:rPr>
        <w:t>A</w:t>
      </w:r>
      <w:r w:rsidRPr="003959A2" w:rsidR="00453DE0">
        <w:rPr>
          <w:szCs w:val="22"/>
        </w:rPr>
        <w:t xml:space="preserve">t issue </w:t>
      </w:r>
      <w:r w:rsidRPr="003959A2">
        <w:rPr>
          <w:szCs w:val="22"/>
        </w:rPr>
        <w:t>in the case before us</w:t>
      </w:r>
      <w:r w:rsidRPr="003959A2" w:rsidR="00453DE0">
        <w:rPr>
          <w:szCs w:val="22"/>
        </w:rPr>
        <w:t xml:space="preserve"> is </w:t>
      </w:r>
      <w:r w:rsidRPr="003959A2" w:rsidR="006C2B8E">
        <w:rPr>
          <w:szCs w:val="22"/>
        </w:rPr>
        <w:t>series of</w:t>
      </w:r>
      <w:r w:rsidRPr="003959A2" w:rsidR="00453DE0">
        <w:rPr>
          <w:szCs w:val="22"/>
        </w:rPr>
        <w:t xml:space="preserve"> misfiled application</w:t>
      </w:r>
      <w:r w:rsidRPr="003959A2" w:rsidR="009D011E">
        <w:rPr>
          <w:szCs w:val="22"/>
        </w:rPr>
        <w:t>s</w:t>
      </w:r>
      <w:r w:rsidRPr="003959A2" w:rsidR="00273BC7">
        <w:rPr>
          <w:szCs w:val="22"/>
        </w:rPr>
        <w:t xml:space="preserve"> and</w:t>
      </w:r>
      <w:r w:rsidRPr="003959A2" w:rsidR="00453DE0">
        <w:rPr>
          <w:szCs w:val="22"/>
        </w:rPr>
        <w:t xml:space="preserve"> </w:t>
      </w:r>
      <w:r w:rsidRPr="003959A2" w:rsidR="00455CE5">
        <w:rPr>
          <w:szCs w:val="22"/>
        </w:rPr>
        <w:t>violations</w:t>
      </w:r>
      <w:r w:rsidRPr="003959A2" w:rsidR="00453DE0">
        <w:rPr>
          <w:szCs w:val="22"/>
        </w:rPr>
        <w:t xml:space="preserve"> that</w:t>
      </w:r>
      <w:r w:rsidRPr="003959A2" w:rsidR="00455CE5">
        <w:rPr>
          <w:szCs w:val="22"/>
        </w:rPr>
        <w:t xml:space="preserve"> drive at the very </w:t>
      </w:r>
      <w:r w:rsidRPr="003959A2" w:rsidR="002A1B0D">
        <w:rPr>
          <w:szCs w:val="22"/>
        </w:rPr>
        <w:t>core</w:t>
      </w:r>
      <w:r w:rsidRPr="003959A2" w:rsidR="00455CE5">
        <w:rPr>
          <w:szCs w:val="22"/>
        </w:rPr>
        <w:t xml:space="preserve"> of the Commission’s </w:t>
      </w:r>
      <w:r w:rsidRPr="003959A2" w:rsidR="00453DE0">
        <w:rPr>
          <w:szCs w:val="22"/>
        </w:rPr>
        <w:t xml:space="preserve">statutory obligation </w:t>
      </w:r>
      <w:r w:rsidRPr="003959A2" w:rsidR="009D011E">
        <w:rPr>
          <w:szCs w:val="22"/>
        </w:rPr>
        <w:t>to maintain order in the spectrum bands</w:t>
      </w:r>
      <w:r w:rsidRPr="003959A2" w:rsidR="00455CE5">
        <w:rPr>
          <w:szCs w:val="22"/>
        </w:rPr>
        <w:t>.</w:t>
      </w:r>
      <w:r>
        <w:rPr>
          <w:rStyle w:val="FootnoteReference"/>
          <w:sz w:val="22"/>
          <w:szCs w:val="22"/>
        </w:rPr>
        <w:footnoteReference w:id="32"/>
      </w:r>
      <w:r w:rsidRPr="003959A2" w:rsidR="009D011E">
        <w:rPr>
          <w:szCs w:val="22"/>
        </w:rPr>
        <w:t xml:space="preserve">  </w:t>
      </w:r>
      <w:r w:rsidRPr="003959A2" w:rsidR="00181FE7">
        <w:rPr>
          <w:szCs w:val="22"/>
        </w:rPr>
        <w:t>O</w:t>
      </w:r>
      <w:r w:rsidRPr="003959A2" w:rsidR="00730898">
        <w:rPr>
          <w:szCs w:val="22"/>
        </w:rPr>
        <w:t>btaining a valid instrument of authorization prior to engaging in operation is one of the most basic requirements the Commission places on broadcasters.</w:t>
      </w:r>
      <w:r w:rsidRPr="003959A2" w:rsidR="0031230D">
        <w:rPr>
          <w:szCs w:val="22"/>
        </w:rPr>
        <w:t xml:space="preserve">  RBI </w:t>
      </w:r>
      <w:r w:rsidRPr="003959A2" w:rsidR="00902EFC">
        <w:rPr>
          <w:szCs w:val="22"/>
        </w:rPr>
        <w:t xml:space="preserve">also appears to have been </w:t>
      </w:r>
      <w:r w:rsidRPr="003959A2" w:rsidR="0031230D">
        <w:rPr>
          <w:szCs w:val="22"/>
        </w:rPr>
        <w:t xml:space="preserve">aware of what applications should have been filed, but </w:t>
      </w:r>
      <w:r w:rsidRPr="003959A2" w:rsidR="00EF5F0F">
        <w:rPr>
          <w:szCs w:val="22"/>
        </w:rPr>
        <w:t xml:space="preserve">either filed them months late or, </w:t>
      </w:r>
      <w:r w:rsidRPr="003959A2" w:rsidR="0031230D">
        <w:rPr>
          <w:szCs w:val="22"/>
        </w:rPr>
        <w:t>based on guidance from its outside legal counsel</w:t>
      </w:r>
      <w:r w:rsidRPr="003959A2" w:rsidR="00EF5F0F">
        <w:rPr>
          <w:szCs w:val="22"/>
        </w:rPr>
        <w:t>,</w:t>
      </w:r>
      <w:r w:rsidRPr="003959A2" w:rsidR="0031230D">
        <w:rPr>
          <w:szCs w:val="22"/>
        </w:rPr>
        <w:t xml:space="preserve"> </w:t>
      </w:r>
      <w:r w:rsidRPr="003959A2" w:rsidR="00866EDF">
        <w:rPr>
          <w:szCs w:val="22"/>
        </w:rPr>
        <w:t xml:space="preserve">chose not to </w:t>
      </w:r>
      <w:r w:rsidRPr="003959A2" w:rsidR="00EF5F0F">
        <w:rPr>
          <w:szCs w:val="22"/>
        </w:rPr>
        <w:t xml:space="preserve">make the necessary </w:t>
      </w:r>
      <w:r w:rsidRPr="003959A2" w:rsidR="00866EDF">
        <w:rPr>
          <w:szCs w:val="22"/>
        </w:rPr>
        <w:t>filings.</w:t>
      </w:r>
      <w:r w:rsidRPr="003959A2" w:rsidR="00EF5F0F">
        <w:rPr>
          <w:szCs w:val="22"/>
        </w:rPr>
        <w:t xml:space="preserve">  </w:t>
      </w:r>
      <w:r w:rsidRPr="003959A2" w:rsidR="00866EDF">
        <w:rPr>
          <w:szCs w:val="22"/>
        </w:rPr>
        <w:t xml:space="preserve">These </w:t>
      </w:r>
      <w:r w:rsidRPr="003959A2" w:rsidR="00EF5F0F">
        <w:rPr>
          <w:szCs w:val="22"/>
        </w:rPr>
        <w:t xml:space="preserve">facts show more than the type of </w:t>
      </w:r>
      <w:r w:rsidRPr="003959A2" w:rsidR="00866EDF">
        <w:rPr>
          <w:szCs w:val="22"/>
        </w:rPr>
        <w:t xml:space="preserve"> procedural, </w:t>
      </w:r>
      <w:r w:rsidRPr="003959A2" w:rsidR="00902EFC">
        <w:rPr>
          <w:szCs w:val="22"/>
        </w:rPr>
        <w:t>ministerial</w:t>
      </w:r>
      <w:r w:rsidRPr="003959A2" w:rsidR="00866EDF">
        <w:rPr>
          <w:szCs w:val="22"/>
        </w:rPr>
        <w:t xml:space="preserve"> or clerical </w:t>
      </w:r>
      <w:r w:rsidRPr="003959A2" w:rsidR="00902EFC">
        <w:rPr>
          <w:szCs w:val="22"/>
        </w:rPr>
        <w:t>errors</w:t>
      </w:r>
      <w:r w:rsidRPr="003959A2" w:rsidR="00EF5F0F">
        <w:rPr>
          <w:szCs w:val="22"/>
        </w:rPr>
        <w:t xml:space="preserve"> found in </w:t>
      </w:r>
      <w:r w:rsidRPr="003959A2" w:rsidR="00EF5F0F">
        <w:rPr>
          <w:i/>
          <w:iCs/>
          <w:szCs w:val="22"/>
        </w:rPr>
        <w:t>Bishop Perry</w:t>
      </w:r>
      <w:r w:rsidRPr="003959A2" w:rsidR="00EF5F0F">
        <w:rPr>
          <w:szCs w:val="22"/>
        </w:rPr>
        <w:t xml:space="preserve"> and its progeny</w:t>
      </w:r>
      <w:r w:rsidRPr="003959A2" w:rsidR="000E0645">
        <w:rPr>
          <w:szCs w:val="22"/>
        </w:rPr>
        <w:t xml:space="preserve"> that the Commission has found warrants relief in the context of E-rate applications</w:t>
      </w:r>
      <w:r w:rsidRPr="003959A2" w:rsidR="00902EFC">
        <w:rPr>
          <w:szCs w:val="22"/>
        </w:rPr>
        <w:t>.</w:t>
      </w:r>
      <w:r w:rsidRPr="003959A2" w:rsidR="00685DAF">
        <w:rPr>
          <w:szCs w:val="22"/>
        </w:rPr>
        <w:t xml:space="preserve">  </w:t>
      </w:r>
      <w:r w:rsidRPr="003959A2" w:rsidR="00F959AD">
        <w:rPr>
          <w:szCs w:val="22"/>
        </w:rPr>
        <w:t xml:space="preserve">While </w:t>
      </w:r>
      <w:r w:rsidRPr="003959A2" w:rsidR="00071B60">
        <w:rPr>
          <w:szCs w:val="22"/>
        </w:rPr>
        <w:t>RBI contends</w:t>
      </w:r>
      <w:r w:rsidRPr="003959A2" w:rsidR="00F959AD">
        <w:rPr>
          <w:szCs w:val="22"/>
        </w:rPr>
        <w:t xml:space="preserve"> that the Station’s operation did not cause any interference or harm to others</w:t>
      </w:r>
      <w:r w:rsidRPr="003959A2" w:rsidR="0057317B">
        <w:rPr>
          <w:szCs w:val="22"/>
        </w:rPr>
        <w:t>, f</w:t>
      </w:r>
      <w:r w:rsidRPr="003959A2" w:rsidR="00953297">
        <w:rPr>
          <w:szCs w:val="22"/>
        </w:rPr>
        <w:t xml:space="preserve">ailure to take appropriate action </w:t>
      </w:r>
      <w:r w:rsidRPr="003959A2" w:rsidR="003E64F8">
        <w:rPr>
          <w:szCs w:val="22"/>
        </w:rPr>
        <w:t xml:space="preserve">here merely encourages others to </w:t>
      </w:r>
      <w:r w:rsidRPr="003959A2" w:rsidR="005627AA">
        <w:rPr>
          <w:szCs w:val="22"/>
        </w:rPr>
        <w:t>disregard our licensing</w:t>
      </w:r>
      <w:r w:rsidRPr="003959A2" w:rsidR="003E64F8">
        <w:rPr>
          <w:szCs w:val="22"/>
        </w:rPr>
        <w:t xml:space="preserve"> rules</w:t>
      </w:r>
      <w:r w:rsidRPr="003959A2" w:rsidR="005627AA">
        <w:rPr>
          <w:szCs w:val="22"/>
        </w:rPr>
        <w:t>,</w:t>
      </w:r>
      <w:r w:rsidRPr="003959A2" w:rsidR="003E64F8">
        <w:rPr>
          <w:szCs w:val="22"/>
        </w:rPr>
        <w:t xml:space="preserve"> be it intentionally or unintentionally.  And we again draw upon the fact that RBI was </w:t>
      </w:r>
      <w:r w:rsidRPr="003959A2" w:rsidR="007A52B4">
        <w:rPr>
          <w:szCs w:val="22"/>
        </w:rPr>
        <w:t>recently</w:t>
      </w:r>
      <w:r w:rsidRPr="003959A2" w:rsidR="003E64F8">
        <w:rPr>
          <w:szCs w:val="22"/>
        </w:rPr>
        <w:t xml:space="preserve"> admonished for </w:t>
      </w:r>
      <w:r w:rsidRPr="003959A2" w:rsidR="007A52B4">
        <w:rPr>
          <w:szCs w:val="22"/>
        </w:rPr>
        <w:t xml:space="preserve">a </w:t>
      </w:r>
      <w:r w:rsidRPr="003959A2" w:rsidR="003E64F8">
        <w:rPr>
          <w:szCs w:val="22"/>
        </w:rPr>
        <w:t>similar violation</w:t>
      </w:r>
      <w:r w:rsidRPr="003959A2" w:rsidR="001678BF">
        <w:rPr>
          <w:szCs w:val="22"/>
        </w:rPr>
        <w:t>,</w:t>
      </w:r>
      <w:r>
        <w:rPr>
          <w:rStyle w:val="FootnoteReference"/>
          <w:sz w:val="22"/>
          <w:szCs w:val="22"/>
        </w:rPr>
        <w:footnoteReference w:id="33"/>
      </w:r>
      <w:r w:rsidRPr="003959A2" w:rsidR="003E64F8">
        <w:rPr>
          <w:szCs w:val="22"/>
        </w:rPr>
        <w:t xml:space="preserve"> making it all the more important to make clear that licensee</w:t>
      </w:r>
      <w:r w:rsidRPr="003959A2" w:rsidR="007A52B4">
        <w:rPr>
          <w:szCs w:val="22"/>
        </w:rPr>
        <w:t>s</w:t>
      </w:r>
      <w:r w:rsidRPr="003959A2" w:rsidR="003E64F8">
        <w:rPr>
          <w:szCs w:val="22"/>
        </w:rPr>
        <w:t xml:space="preserve"> must abide by our licensing procedures</w:t>
      </w:r>
      <w:r w:rsidRPr="003959A2" w:rsidR="0057317B">
        <w:rPr>
          <w:szCs w:val="22"/>
        </w:rPr>
        <w:t>, including making all necessary filings and operating pursuant to valid instruments of authorization</w:t>
      </w:r>
      <w:r w:rsidRPr="003959A2" w:rsidR="003B4A47">
        <w:rPr>
          <w:szCs w:val="22"/>
        </w:rPr>
        <w:t>.</w:t>
      </w:r>
      <w:r w:rsidRPr="003959A2" w:rsidR="00045ADC">
        <w:rPr>
          <w:szCs w:val="22"/>
        </w:rPr>
        <w:t xml:space="preserve">  </w:t>
      </w:r>
    </w:p>
    <w:p w:rsidR="0072020B" w:rsidRPr="003959A2" w:rsidP="00455CE5" w14:paraId="416E1553" w14:textId="50DF9115">
      <w:pPr>
        <w:pStyle w:val="ParaNum"/>
        <w:rPr>
          <w:szCs w:val="22"/>
        </w:rPr>
      </w:pPr>
      <w:r w:rsidRPr="003959A2">
        <w:rPr>
          <w:szCs w:val="22"/>
        </w:rPr>
        <w:t>W</w:t>
      </w:r>
      <w:r w:rsidRPr="003959A2">
        <w:rPr>
          <w:szCs w:val="22"/>
        </w:rPr>
        <w:t xml:space="preserve">e have considered </w:t>
      </w:r>
      <w:r w:rsidRPr="003959A2" w:rsidR="00ED2DBD">
        <w:rPr>
          <w:szCs w:val="22"/>
        </w:rPr>
        <w:t>RBI</w:t>
      </w:r>
      <w:r w:rsidRPr="003959A2">
        <w:rPr>
          <w:szCs w:val="22"/>
        </w:rPr>
        <w:t>’s Re</w:t>
      </w:r>
      <w:r w:rsidRPr="003959A2" w:rsidR="00ED2DBD">
        <w:rPr>
          <w:szCs w:val="22"/>
        </w:rPr>
        <w:t>quest</w:t>
      </w:r>
      <w:r w:rsidRPr="003959A2">
        <w:rPr>
          <w:szCs w:val="22"/>
        </w:rPr>
        <w:t xml:space="preserve"> and the record of this case in light of the above statutory factors, our rules, and the </w:t>
      </w:r>
      <w:r w:rsidRPr="003959A2">
        <w:rPr>
          <w:i/>
          <w:iCs/>
          <w:szCs w:val="22"/>
        </w:rPr>
        <w:t>Forfeiture Policy Statement</w:t>
      </w:r>
      <w:r w:rsidRPr="003959A2">
        <w:rPr>
          <w:szCs w:val="22"/>
        </w:rPr>
        <w:t xml:space="preserve">.  </w:t>
      </w:r>
      <w:r w:rsidRPr="003959A2" w:rsidR="00455CE5">
        <w:rPr>
          <w:szCs w:val="22"/>
        </w:rPr>
        <w:t>We have already reduced the forfeiture amount in light of the Station’s secondary status and RBI provides no evidence that it has an inability to pay the fine or that the Bureau erred in its findings.  Despite RBI’s efforts to downplay the nature of the violations, RBI does not dispute that it committed the violations</w:t>
      </w:r>
      <w:r w:rsidRPr="003959A2" w:rsidR="00FC3772">
        <w:rPr>
          <w:szCs w:val="22"/>
        </w:rPr>
        <w:t xml:space="preserve">.  </w:t>
      </w:r>
      <w:r w:rsidRPr="003959A2">
        <w:rPr>
          <w:szCs w:val="22"/>
        </w:rPr>
        <w:t xml:space="preserve">We </w:t>
      </w:r>
      <w:r w:rsidRPr="003959A2" w:rsidR="00455CE5">
        <w:rPr>
          <w:szCs w:val="22"/>
        </w:rPr>
        <w:t xml:space="preserve">therefore find </w:t>
      </w:r>
      <w:r w:rsidRPr="003959A2">
        <w:rPr>
          <w:szCs w:val="22"/>
        </w:rPr>
        <w:t xml:space="preserve">that </w:t>
      </w:r>
      <w:r w:rsidRPr="003959A2" w:rsidR="008369D8">
        <w:rPr>
          <w:szCs w:val="22"/>
        </w:rPr>
        <w:t>RBI</w:t>
      </w:r>
      <w:r w:rsidRPr="003959A2">
        <w:rPr>
          <w:szCs w:val="22"/>
        </w:rPr>
        <w:t xml:space="preserve"> </w:t>
      </w:r>
      <w:r w:rsidRPr="003959A2" w:rsidR="00CB556B">
        <w:rPr>
          <w:szCs w:val="22"/>
        </w:rPr>
        <w:t>willfully violated section 73.3598(a) of the Rules by failing to timely file a license to cover application</w:t>
      </w:r>
      <w:r w:rsidRPr="003959A2" w:rsidR="001E624F">
        <w:rPr>
          <w:szCs w:val="22"/>
        </w:rPr>
        <w:t xml:space="preserve"> and 73.1635(a) by failing to file for special temporary authority</w:t>
      </w:r>
      <w:r w:rsidRPr="003959A2" w:rsidR="00CB556B">
        <w:rPr>
          <w:szCs w:val="22"/>
        </w:rPr>
        <w:t>,</w:t>
      </w:r>
      <w:r>
        <w:rPr>
          <w:rStyle w:val="FootnoteReference"/>
          <w:szCs w:val="22"/>
        </w:rPr>
        <w:footnoteReference w:id="34"/>
      </w:r>
      <w:r w:rsidRPr="003959A2" w:rsidR="00CB556B">
        <w:rPr>
          <w:szCs w:val="22"/>
        </w:rPr>
        <w:t xml:space="preserve"> and willfully and repeatedly violated section 73.1745(a) of the Rules</w:t>
      </w:r>
      <w:r>
        <w:rPr>
          <w:rStyle w:val="FootnoteReference"/>
          <w:sz w:val="22"/>
          <w:szCs w:val="22"/>
        </w:rPr>
        <w:footnoteReference w:id="35"/>
      </w:r>
      <w:r w:rsidRPr="003959A2" w:rsidR="00CB556B">
        <w:rPr>
          <w:szCs w:val="22"/>
        </w:rPr>
        <w:t xml:space="preserve"> and section 301 of the Act,</w:t>
      </w:r>
      <w:r>
        <w:rPr>
          <w:rStyle w:val="FootnoteReference"/>
          <w:color w:val="000000"/>
          <w:sz w:val="22"/>
          <w:szCs w:val="22"/>
        </w:rPr>
        <w:footnoteReference w:id="36"/>
      </w:r>
      <w:r w:rsidRPr="003959A2" w:rsidR="00CB556B">
        <w:rPr>
          <w:szCs w:val="22"/>
        </w:rPr>
        <w:t xml:space="preserve"> by engaging in unauthorized operation.  </w:t>
      </w:r>
      <w:r w:rsidRPr="003959A2" w:rsidR="00455CE5">
        <w:rPr>
          <w:szCs w:val="22"/>
        </w:rPr>
        <w:t>Accordingly</w:t>
      </w:r>
      <w:r w:rsidRPr="003959A2" w:rsidR="00ED2DBD">
        <w:rPr>
          <w:szCs w:val="22"/>
        </w:rPr>
        <w:t xml:space="preserve">, we conclude that </w:t>
      </w:r>
      <w:r w:rsidRPr="003959A2" w:rsidR="00455CE5">
        <w:rPr>
          <w:szCs w:val="22"/>
        </w:rPr>
        <w:t xml:space="preserve">based on the facts and circumstances </w:t>
      </w:r>
      <w:r w:rsidRPr="003959A2" w:rsidR="00ED2DBD">
        <w:rPr>
          <w:szCs w:val="22"/>
        </w:rPr>
        <w:t xml:space="preserve">a forfeiture in the amount of nine </w:t>
      </w:r>
      <w:r w:rsidRPr="003959A2" w:rsidR="00ED2DBD">
        <w:rPr>
          <w:szCs w:val="22"/>
        </w:rPr>
        <w:t>thousand five hundred dollars ($9,500)</w:t>
      </w:r>
      <w:r w:rsidRPr="003959A2" w:rsidR="00455CE5">
        <w:rPr>
          <w:szCs w:val="22"/>
        </w:rPr>
        <w:t xml:space="preserve">, as proposed in the </w:t>
      </w:r>
      <w:r w:rsidRPr="003959A2" w:rsidR="00455CE5">
        <w:rPr>
          <w:i/>
          <w:iCs/>
          <w:szCs w:val="22"/>
        </w:rPr>
        <w:t>NAL</w:t>
      </w:r>
      <w:r w:rsidRPr="003959A2" w:rsidR="00691A6F">
        <w:rPr>
          <w:szCs w:val="22"/>
        </w:rPr>
        <w:t xml:space="preserve"> is warranted</w:t>
      </w:r>
      <w:r w:rsidRPr="003959A2" w:rsidR="00BB5D4C">
        <w:rPr>
          <w:szCs w:val="22"/>
        </w:rPr>
        <w:t>.</w:t>
      </w:r>
      <w:r>
        <w:rPr>
          <w:rStyle w:val="FootnoteReference"/>
          <w:sz w:val="22"/>
          <w:szCs w:val="22"/>
        </w:rPr>
        <w:footnoteReference w:id="37"/>
      </w:r>
      <w:r w:rsidRPr="003959A2" w:rsidR="00455CE5">
        <w:rPr>
          <w:szCs w:val="22"/>
        </w:rPr>
        <w:t xml:space="preserve">  Furthermore, a</w:t>
      </w:r>
      <w:r w:rsidRPr="003959A2" w:rsidR="001E624F">
        <w:rPr>
          <w:szCs w:val="22"/>
        </w:rPr>
        <w:t xml:space="preserve">s stated in the </w:t>
      </w:r>
      <w:r w:rsidRPr="003959A2" w:rsidR="001E624F">
        <w:rPr>
          <w:i/>
          <w:iCs/>
          <w:szCs w:val="22"/>
        </w:rPr>
        <w:t>NAL</w:t>
      </w:r>
      <w:r w:rsidRPr="003959A2" w:rsidR="001E624F">
        <w:rPr>
          <w:szCs w:val="22"/>
        </w:rPr>
        <w:t>, w</w:t>
      </w:r>
      <w:r w:rsidRPr="003959A2" w:rsidR="00CB556B">
        <w:rPr>
          <w:szCs w:val="22"/>
        </w:rPr>
        <w:t xml:space="preserve">e will grant the Station’s pending </w:t>
      </w:r>
      <w:r w:rsidRPr="003959A2" w:rsidR="008369D8">
        <w:rPr>
          <w:szCs w:val="22"/>
        </w:rPr>
        <w:t>l</w:t>
      </w:r>
      <w:r w:rsidRPr="003959A2" w:rsidR="00CB556B">
        <w:rPr>
          <w:szCs w:val="22"/>
        </w:rPr>
        <w:t xml:space="preserve">icense </w:t>
      </w:r>
      <w:r w:rsidRPr="003959A2" w:rsidR="008369D8">
        <w:rPr>
          <w:szCs w:val="22"/>
        </w:rPr>
        <w:t>a</w:t>
      </w:r>
      <w:r w:rsidRPr="003959A2" w:rsidR="00CB556B">
        <w:rPr>
          <w:szCs w:val="22"/>
        </w:rPr>
        <w:t>pplication by separate action upon the conclusion of this forfeiture proceeding if there are no issues other than the apparent violations that would preclude grant.</w:t>
      </w:r>
      <w:r>
        <w:rPr>
          <w:rStyle w:val="FootnoteReference"/>
          <w:sz w:val="22"/>
          <w:szCs w:val="22"/>
        </w:rPr>
        <w:footnoteReference w:id="38"/>
      </w:r>
      <w:r w:rsidRPr="003959A2" w:rsidR="00723432">
        <w:rPr>
          <w:szCs w:val="22"/>
        </w:rPr>
        <w:t xml:space="preserve">  </w:t>
      </w:r>
    </w:p>
    <w:p w:rsidR="00CC4E35" w:rsidRPr="003959A2" w:rsidP="001E6B52" w14:paraId="76F8C08A" w14:textId="142A1258">
      <w:pPr>
        <w:pStyle w:val="Heading1"/>
        <w:rPr>
          <w:rFonts w:ascii="Times New Roman" w:hAnsi="Times New Roman"/>
          <w:szCs w:val="22"/>
        </w:rPr>
      </w:pPr>
      <w:r w:rsidRPr="003959A2">
        <w:rPr>
          <w:rFonts w:ascii="Times New Roman" w:hAnsi="Times New Roman"/>
          <w:szCs w:val="22"/>
        </w:rPr>
        <w:t>ordering clauses</w:t>
      </w:r>
    </w:p>
    <w:p w:rsidR="0072020B" w:rsidRPr="003959A2" w:rsidP="00CB556B" w14:paraId="12536AA8" w14:textId="4B031A32">
      <w:pPr>
        <w:pStyle w:val="ParaNum"/>
        <w:rPr>
          <w:szCs w:val="22"/>
        </w:rPr>
      </w:pPr>
      <w:r w:rsidRPr="003959A2">
        <w:rPr>
          <w:szCs w:val="22"/>
        </w:rPr>
        <w:t xml:space="preserve">Accordingly, </w:t>
      </w:r>
      <w:r w:rsidRPr="003959A2">
        <w:rPr>
          <w:b/>
          <w:bCs/>
          <w:szCs w:val="22"/>
        </w:rPr>
        <w:t>IT IS ORDERED</w:t>
      </w:r>
      <w:r w:rsidRPr="003959A2">
        <w:rPr>
          <w:szCs w:val="22"/>
        </w:rPr>
        <w:t>, pursuant to section 503(b) of the Communications Act of 1934, as amended, and sections 0.283 and 1.80 of the Commission’s rules,</w:t>
      </w:r>
      <w:r>
        <w:rPr>
          <w:rStyle w:val="FootnoteReference"/>
          <w:sz w:val="22"/>
          <w:szCs w:val="22"/>
        </w:rPr>
        <w:footnoteReference w:id="39"/>
      </w:r>
      <w:r w:rsidRPr="003959A2">
        <w:rPr>
          <w:szCs w:val="22"/>
        </w:rPr>
        <w:t xml:space="preserve"> that </w:t>
      </w:r>
      <w:r w:rsidRPr="003959A2" w:rsidR="00CB556B">
        <w:rPr>
          <w:szCs w:val="22"/>
        </w:rPr>
        <w:t>Roseland Broadcasting, Inc.</w:t>
      </w:r>
      <w:r w:rsidRPr="003959A2">
        <w:rPr>
          <w:szCs w:val="22"/>
        </w:rPr>
        <w:t xml:space="preserve"> </w:t>
      </w:r>
      <w:r w:rsidRPr="003959A2">
        <w:rPr>
          <w:b/>
          <w:bCs/>
          <w:szCs w:val="22"/>
        </w:rPr>
        <w:t>SHALL FORFEIT</w:t>
      </w:r>
      <w:r w:rsidRPr="003959A2">
        <w:rPr>
          <w:szCs w:val="22"/>
        </w:rPr>
        <w:t xml:space="preserve"> to the United States the sum o</w:t>
      </w:r>
      <w:r w:rsidRPr="003959A2" w:rsidR="00CF7A6B">
        <w:rPr>
          <w:szCs w:val="22"/>
        </w:rPr>
        <w:t xml:space="preserve">f </w:t>
      </w:r>
      <w:r w:rsidRPr="003959A2" w:rsidR="00CB556B">
        <w:rPr>
          <w:szCs w:val="22"/>
        </w:rPr>
        <w:t>nine thousand five hundred dollars ($9,500</w:t>
      </w:r>
      <w:r w:rsidRPr="003959A2">
        <w:rPr>
          <w:szCs w:val="22"/>
        </w:rPr>
        <w:t xml:space="preserve">) for </w:t>
      </w:r>
      <w:r w:rsidRPr="003959A2" w:rsidR="00CB556B">
        <w:rPr>
          <w:szCs w:val="22"/>
        </w:rPr>
        <w:t>willfully violated section</w:t>
      </w:r>
      <w:r w:rsidRPr="003959A2" w:rsidR="001E624F">
        <w:rPr>
          <w:szCs w:val="22"/>
        </w:rPr>
        <w:t xml:space="preserve">s </w:t>
      </w:r>
      <w:r w:rsidRPr="003959A2" w:rsidR="00CB556B">
        <w:rPr>
          <w:szCs w:val="22"/>
        </w:rPr>
        <w:t xml:space="preserve">73.3598(a) </w:t>
      </w:r>
      <w:r w:rsidRPr="003959A2" w:rsidR="001E624F">
        <w:rPr>
          <w:szCs w:val="22"/>
        </w:rPr>
        <w:t xml:space="preserve">and 73.1635(a) </w:t>
      </w:r>
      <w:r w:rsidRPr="003959A2" w:rsidR="00CB556B">
        <w:rPr>
          <w:szCs w:val="22"/>
        </w:rPr>
        <w:t>of the Commission’s rules by failing to timely file a license to cover application</w:t>
      </w:r>
      <w:r w:rsidR="00E51AFD">
        <w:rPr>
          <w:szCs w:val="22"/>
        </w:rPr>
        <w:t xml:space="preserve"> and request for special temporary authority</w:t>
      </w:r>
      <w:r w:rsidRPr="003959A2" w:rsidR="00CB556B">
        <w:rPr>
          <w:szCs w:val="22"/>
        </w:rPr>
        <w:t>,</w:t>
      </w:r>
      <w:r>
        <w:rPr>
          <w:rStyle w:val="FootnoteReference"/>
          <w:szCs w:val="22"/>
        </w:rPr>
        <w:footnoteReference w:id="40"/>
      </w:r>
      <w:r w:rsidRPr="003959A2" w:rsidR="00CB556B">
        <w:rPr>
          <w:szCs w:val="22"/>
        </w:rPr>
        <w:t xml:space="preserve"> and willfully and repeatedly violated section 73.1745(a) of the Rules</w:t>
      </w:r>
      <w:r>
        <w:rPr>
          <w:rStyle w:val="FootnoteReference"/>
          <w:sz w:val="22"/>
          <w:szCs w:val="22"/>
        </w:rPr>
        <w:footnoteReference w:id="41"/>
      </w:r>
      <w:r w:rsidRPr="003959A2" w:rsidR="00CB556B">
        <w:rPr>
          <w:szCs w:val="22"/>
        </w:rPr>
        <w:t xml:space="preserve"> and section 301 of the Act,</w:t>
      </w:r>
      <w:r>
        <w:rPr>
          <w:rStyle w:val="FootnoteReference"/>
          <w:color w:val="000000"/>
          <w:sz w:val="22"/>
          <w:szCs w:val="22"/>
        </w:rPr>
        <w:footnoteReference w:id="42"/>
      </w:r>
      <w:r w:rsidRPr="003959A2" w:rsidR="00CB556B">
        <w:rPr>
          <w:szCs w:val="22"/>
        </w:rPr>
        <w:t xml:space="preserve"> by engaging in unauthorized operation.</w:t>
      </w:r>
    </w:p>
    <w:p w:rsidR="00CC4E35" w:rsidRPr="003959A2" w:rsidP="00C42C83" w14:paraId="2FFBF3F0" w14:textId="5493E9F6">
      <w:pPr>
        <w:pStyle w:val="ParaNum"/>
        <w:widowControl/>
        <w:rPr>
          <w:szCs w:val="22"/>
        </w:rPr>
      </w:pPr>
      <w:r w:rsidRPr="003959A2">
        <w:rPr>
          <w:szCs w:val="22"/>
        </w:rPr>
        <w:t>Payment of the forfeiture must be made by credit card, ACH (Automated Clearing House) debit from a bank account using CORES (the Commission’s online payment system),</w:t>
      </w:r>
      <w:r>
        <w:rPr>
          <w:rStyle w:val="FootnoteReference"/>
          <w:sz w:val="22"/>
          <w:szCs w:val="22"/>
        </w:rPr>
        <w:footnoteReference w:id="43"/>
      </w:r>
      <w:r w:rsidRPr="003959A2">
        <w:rPr>
          <w:szCs w:val="22"/>
        </w:rPr>
        <w:t xml:space="preserve"> or by wire transfer.  Payments by check or money order to pay a forfeiture are no longer accepted.  Below are instructions that payors should follow based on the form of payment selected:</w:t>
      </w:r>
      <w:r>
        <w:rPr>
          <w:rStyle w:val="FootnoteReference"/>
          <w:sz w:val="22"/>
          <w:szCs w:val="22"/>
        </w:rPr>
        <w:footnoteReference w:id="44"/>
      </w:r>
      <w:r w:rsidRPr="003959A2">
        <w:rPr>
          <w:szCs w:val="22"/>
        </w:rPr>
        <w:t xml:space="preserve"> </w:t>
      </w:r>
    </w:p>
    <w:p w:rsidR="00CC4E35" w:rsidRPr="003959A2" w:rsidP="00C42C83" w14:paraId="20E10D83" w14:textId="3B3E3DD5">
      <w:pPr>
        <w:pStyle w:val="ParaNum"/>
        <w:widowControl/>
        <w:numPr>
          <w:ilvl w:val="0"/>
          <w:numId w:val="25"/>
        </w:numPr>
        <w:tabs>
          <w:tab w:val="left" w:pos="1440"/>
        </w:tabs>
        <w:spacing w:after="220"/>
        <w:rPr>
          <w:b/>
          <w:szCs w:val="22"/>
        </w:rPr>
      </w:pPr>
      <w:r w:rsidRPr="003959A2">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3959A2">
          <w:rPr>
            <w:rStyle w:val="Hyperlink"/>
            <w:szCs w:val="22"/>
          </w:rPr>
          <w:t>RROGWireFaxes@fcc.gov</w:t>
        </w:r>
      </w:hyperlink>
      <w:r w:rsidRPr="003959A2">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45"/>
      </w:r>
      <w:r w:rsidRPr="003959A2">
        <w:rPr>
          <w:szCs w:val="22"/>
        </w:rPr>
        <w:t xml:space="preserve">  For additional </w:t>
      </w:r>
      <w:r w:rsidRPr="003959A2">
        <w:rPr>
          <w:szCs w:val="22"/>
        </w:rPr>
        <w:t xml:space="preserve">detail and wire transfer instructions, go to </w:t>
      </w:r>
      <w:hyperlink r:id="rId6" w:history="1">
        <w:r w:rsidRPr="003959A2">
          <w:rPr>
            <w:rStyle w:val="Hyperlink"/>
            <w:szCs w:val="22"/>
          </w:rPr>
          <w:t>https://www.fcc.gov/licensing-databases/fees/wire-transfer</w:t>
        </w:r>
      </w:hyperlink>
      <w:r w:rsidRPr="003959A2">
        <w:rPr>
          <w:szCs w:val="22"/>
        </w:rPr>
        <w:t>.</w:t>
      </w:r>
    </w:p>
    <w:p w:rsidR="00CC4E35" w:rsidRPr="003959A2" w:rsidP="00C42C83" w14:paraId="1DA7D8A9" w14:textId="5DD6E1A1">
      <w:pPr>
        <w:pStyle w:val="ParaNum"/>
        <w:widowControl/>
        <w:numPr>
          <w:ilvl w:val="0"/>
          <w:numId w:val="25"/>
        </w:numPr>
        <w:tabs>
          <w:tab w:val="left" w:pos="1440"/>
        </w:tabs>
        <w:spacing w:after="220"/>
        <w:rPr>
          <w:szCs w:val="22"/>
        </w:rPr>
      </w:pPr>
      <w:r w:rsidRPr="003959A2">
        <w:rPr>
          <w:szCs w:val="22"/>
        </w:rPr>
        <w:t xml:space="preserve">Payment by credit card must be made by using the Commission’s Registration System (CORES) at </w:t>
      </w:r>
      <w:hyperlink r:id="rId7" w:history="1">
        <w:r w:rsidRPr="003959A2">
          <w:rPr>
            <w:rStyle w:val="Hyperlink"/>
            <w:szCs w:val="22"/>
          </w:rPr>
          <w:t>https://apps.fcc.gov/cores/userLogin.do</w:t>
        </w:r>
      </w:hyperlink>
      <w:r w:rsidRPr="003959A2">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CC4E35" w:rsidRPr="003959A2" w:rsidP="00C42C83" w14:paraId="3939CA53" w14:textId="179AC1BF">
      <w:pPr>
        <w:pStyle w:val="ParaNum"/>
        <w:widowControl/>
        <w:numPr>
          <w:ilvl w:val="0"/>
          <w:numId w:val="25"/>
        </w:numPr>
        <w:tabs>
          <w:tab w:val="left" w:pos="1440"/>
        </w:tabs>
        <w:spacing w:after="220"/>
        <w:rPr>
          <w:szCs w:val="22"/>
        </w:rPr>
      </w:pPr>
      <w:r w:rsidRPr="003959A2">
        <w:rPr>
          <w:szCs w:val="22"/>
        </w:rPr>
        <w:t xml:space="preserve">Payment by ACH must be made by using the Commission’s Registration System (CORES) at </w:t>
      </w:r>
      <w:hyperlink r:id="rId8" w:history="1">
        <w:r w:rsidRPr="003959A2">
          <w:rPr>
            <w:rStyle w:val="Hyperlink"/>
            <w:szCs w:val="22"/>
          </w:rPr>
          <w:t>https://apps.fcc.gov/cores/paymentFrnLogin.do</w:t>
        </w:r>
      </w:hyperlink>
      <w:r w:rsidRPr="003959A2">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CB556B" w:rsidRPr="003959A2" w:rsidP="002E2D58" w14:paraId="353B33D2" w14:textId="40AB1689">
      <w:pPr>
        <w:pStyle w:val="ParaNum"/>
        <w:rPr>
          <w:szCs w:val="22"/>
        </w:rPr>
      </w:pPr>
      <w:r w:rsidRPr="003959A2">
        <w:rPr>
          <w:szCs w:val="22"/>
        </w:rPr>
        <w:t>Requests for full payment of the forfeiture proposed in this Forfeiture Order under an installment plan should be sent to: Associate Managing Director-Financial Operations, 45 L Street, NE, Washington, DC 20554.</w:t>
      </w:r>
      <w:r>
        <w:rPr>
          <w:rStyle w:val="FootnoteReference"/>
          <w:sz w:val="22"/>
          <w:szCs w:val="22"/>
        </w:rPr>
        <w:footnoteReference w:id="46"/>
      </w:r>
      <w:r w:rsidRPr="003959A2">
        <w:rPr>
          <w:szCs w:val="22"/>
        </w:rPr>
        <w:t xml:space="preserve">  Questions regarding payment procedures should be directed to the Financial Operations Group Help Desk by phone, 1-877-480-3201 (option #6), or by e-mail at </w:t>
      </w:r>
      <w:hyperlink r:id="rId9" w:history="1">
        <w:r w:rsidRPr="003959A2">
          <w:rPr>
            <w:rStyle w:val="Hyperlink"/>
            <w:szCs w:val="22"/>
          </w:rPr>
          <w:t>ARINQUIRIES@fcc.gov</w:t>
        </w:r>
      </w:hyperlink>
      <w:r w:rsidRPr="003959A2">
        <w:rPr>
          <w:szCs w:val="22"/>
        </w:rPr>
        <w:t>.</w:t>
      </w:r>
    </w:p>
    <w:p w:rsidR="002E2D58" w:rsidRPr="003959A2" w:rsidP="00126708" w14:paraId="2BC92B4F" w14:textId="40523CBC">
      <w:pPr>
        <w:pStyle w:val="ParaNum"/>
        <w:rPr>
          <w:szCs w:val="22"/>
        </w:rPr>
      </w:pPr>
      <w:r w:rsidRPr="003959A2">
        <w:rPr>
          <w:b/>
          <w:bCs/>
          <w:szCs w:val="22"/>
        </w:rPr>
        <w:t>IT IS FURTHER ORDERED</w:t>
      </w:r>
      <w:r w:rsidRPr="003959A2">
        <w:rPr>
          <w:szCs w:val="22"/>
        </w:rPr>
        <w:t xml:space="preserve"> that a copy of this Order shall be sent by First Class and Certified Mail, Return Receipt Requested, to </w:t>
      </w:r>
      <w:r w:rsidRPr="003959A2" w:rsidR="00CB556B">
        <w:rPr>
          <w:szCs w:val="22"/>
        </w:rPr>
        <w:t xml:space="preserve">Roseland Broadcasting, Inc., 888C 8th Avenue, Suite 733, New York, New York 10019 as well as by e-mail to </w:t>
      </w:r>
      <w:hyperlink r:id="rId10" w:history="1">
        <w:r w:rsidRPr="003959A2" w:rsidR="00CB556B">
          <w:rPr>
            <w:rStyle w:val="Hyperlink"/>
            <w:szCs w:val="22"/>
          </w:rPr>
          <w:t>legal@box733.com</w:t>
        </w:r>
      </w:hyperlink>
      <w:r w:rsidRPr="003959A2" w:rsidR="00CB556B">
        <w:rPr>
          <w:szCs w:val="22"/>
        </w:rPr>
        <w:t>, and to RBI’s counsel, Aaron P.</w:t>
      </w:r>
      <w:r w:rsidRPr="003959A2" w:rsidR="00FC3772">
        <w:rPr>
          <w:szCs w:val="22"/>
        </w:rPr>
        <w:t xml:space="preserve"> </w:t>
      </w:r>
      <w:r w:rsidRPr="003959A2" w:rsidR="00CB556B">
        <w:rPr>
          <w:szCs w:val="22"/>
        </w:rPr>
        <w:t xml:space="preserve">Shainis, Esq., Shainis &amp; Peltzman, Chartered, 1850 M Street NW, Suite 240, Washington, DC 20036, as well as e-mailed to </w:t>
      </w:r>
      <w:hyperlink r:id="rId11" w:history="1">
        <w:r w:rsidRPr="003959A2" w:rsidR="00CB556B">
          <w:rPr>
            <w:rStyle w:val="Hyperlink"/>
            <w:szCs w:val="22"/>
          </w:rPr>
          <w:t>aaron@s-plaw.com</w:t>
        </w:r>
      </w:hyperlink>
      <w:r w:rsidRPr="003959A2" w:rsidR="00CB556B">
        <w:rPr>
          <w:szCs w:val="22"/>
        </w:rPr>
        <w:t>.</w:t>
      </w:r>
    </w:p>
    <w:p w:rsidR="00BB5D4C" w:rsidRPr="003959A2" w:rsidP="00CB556B" w14:paraId="34259040" w14:textId="5B112310">
      <w:pPr>
        <w:pStyle w:val="ParaNum"/>
        <w:numPr>
          <w:ilvl w:val="0"/>
          <w:numId w:val="0"/>
        </w:numPr>
        <w:rPr>
          <w:szCs w:val="22"/>
        </w:rPr>
      </w:pPr>
      <w:r w:rsidRPr="003959A2">
        <w:rPr>
          <w:szCs w:val="22"/>
        </w:rPr>
        <w:tab/>
      </w:r>
      <w:r w:rsidRPr="003959A2">
        <w:rPr>
          <w:szCs w:val="22"/>
        </w:rPr>
        <w:tab/>
      </w:r>
      <w:r w:rsidRPr="003959A2">
        <w:rPr>
          <w:szCs w:val="22"/>
        </w:rPr>
        <w:tab/>
      </w:r>
      <w:r w:rsidRPr="003959A2">
        <w:rPr>
          <w:szCs w:val="22"/>
        </w:rPr>
        <w:tab/>
      </w:r>
      <w:r w:rsidRPr="003959A2">
        <w:rPr>
          <w:szCs w:val="22"/>
        </w:rPr>
        <w:tab/>
      </w:r>
      <w:r w:rsidRPr="003959A2">
        <w:rPr>
          <w:szCs w:val="22"/>
        </w:rPr>
        <w:tab/>
        <w:t>FEDERAL COMMUNICATIONS COMMISSION</w:t>
      </w:r>
    </w:p>
    <w:p w:rsidR="00CB556B" w:rsidRPr="003959A2" w:rsidP="0017296B" w14:paraId="16D8637A" w14:textId="77777777">
      <w:pPr>
        <w:rPr>
          <w:szCs w:val="22"/>
        </w:rPr>
      </w:pPr>
    </w:p>
    <w:p w:rsidR="007A52B4" w:rsidRPr="003959A2" w:rsidP="0017296B" w14:paraId="548F52F1" w14:textId="77777777">
      <w:pPr>
        <w:rPr>
          <w:szCs w:val="22"/>
        </w:rPr>
      </w:pPr>
    </w:p>
    <w:p w:rsidR="00BB5D4C" w:rsidRPr="003959A2" w:rsidP="0017296B" w14:paraId="76F39BCB" w14:textId="77777777">
      <w:pPr>
        <w:rPr>
          <w:szCs w:val="22"/>
        </w:rPr>
      </w:pPr>
    </w:p>
    <w:p w:rsidR="00BB5D4C" w:rsidRPr="003959A2" w:rsidP="0017296B" w14:paraId="72D46B8B" w14:textId="5F9373D6">
      <w:pPr>
        <w:rPr>
          <w:szCs w:val="22"/>
        </w:rPr>
      </w:pPr>
      <w:r w:rsidRPr="003959A2">
        <w:rPr>
          <w:szCs w:val="22"/>
        </w:rPr>
        <w:tab/>
      </w:r>
      <w:r w:rsidRPr="003959A2">
        <w:rPr>
          <w:szCs w:val="22"/>
        </w:rPr>
        <w:tab/>
      </w:r>
      <w:r w:rsidRPr="003959A2">
        <w:rPr>
          <w:szCs w:val="22"/>
        </w:rPr>
        <w:tab/>
      </w:r>
      <w:r w:rsidRPr="003959A2">
        <w:rPr>
          <w:szCs w:val="22"/>
        </w:rPr>
        <w:tab/>
      </w:r>
      <w:r w:rsidRPr="003959A2">
        <w:rPr>
          <w:szCs w:val="22"/>
        </w:rPr>
        <w:tab/>
      </w:r>
      <w:r w:rsidRPr="003959A2">
        <w:rPr>
          <w:szCs w:val="22"/>
        </w:rPr>
        <w:tab/>
      </w:r>
      <w:r w:rsidRPr="003959A2" w:rsidR="00904E58">
        <w:rPr>
          <w:szCs w:val="22"/>
        </w:rPr>
        <w:t>Holly Saurer</w:t>
      </w:r>
    </w:p>
    <w:p w:rsidR="00412FC5" w:rsidRPr="003959A2" w:rsidP="00126708" w14:paraId="3C8FD68A" w14:textId="043FD152">
      <w:pPr>
        <w:ind w:left="3600" w:firstLine="720"/>
        <w:rPr>
          <w:szCs w:val="22"/>
        </w:rPr>
      </w:pPr>
      <w:r w:rsidRPr="003959A2">
        <w:rPr>
          <w:szCs w:val="22"/>
        </w:rPr>
        <w:t xml:space="preserve">Chief, Media Bureau </w:t>
      </w:r>
    </w:p>
    <w:sectPr w:rsidSect="003959A2">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55614C" w14:paraId="3C8FD691" w14:textId="77777777">
    <w:pPr>
      <w:pStyle w:val="Footer"/>
      <w:framePr w:wrap="around" w:vAnchor="text" w:hAnchor="margin" w:xAlign="center" w:y="1"/>
    </w:pPr>
    <w:r>
      <w:fldChar w:fldCharType="begin"/>
    </w:r>
    <w:r>
      <w:instrText xml:space="preserve">PAGE  </w:instrText>
    </w:r>
    <w:r w:rsidR="00FD6422">
      <w:fldChar w:fldCharType="separate"/>
    </w:r>
    <w:r>
      <w:fldChar w:fldCharType="end"/>
    </w:r>
  </w:p>
  <w:p w:rsidR="00A35A37" w14:paraId="3C8FD6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9724F1" w14:paraId="3C8FD694" w14:textId="6035215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3C8FD6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59A2" w14:paraId="56B2AE8B" w14:textId="77777777">
      <w:r>
        <w:separator/>
      </w:r>
    </w:p>
  </w:footnote>
  <w:footnote w:type="continuationSeparator" w:id="1">
    <w:p w:rsidR="003959A2" w:rsidP="00C721AC" w14:paraId="4693F5C6" w14:textId="77777777">
      <w:pPr>
        <w:spacing w:before="120"/>
        <w:rPr>
          <w:sz w:val="20"/>
        </w:rPr>
      </w:pPr>
      <w:r>
        <w:rPr>
          <w:sz w:val="20"/>
        </w:rPr>
        <w:t xml:space="preserve">(Continued from previous page)  </w:t>
      </w:r>
      <w:r>
        <w:rPr>
          <w:sz w:val="20"/>
        </w:rPr>
        <w:separator/>
      </w:r>
    </w:p>
  </w:footnote>
  <w:footnote w:type="continuationNotice" w:id="2">
    <w:p w:rsidR="003959A2" w:rsidP="00C721AC" w14:paraId="3AEB3F4A" w14:textId="77777777">
      <w:pPr>
        <w:jc w:val="right"/>
        <w:rPr>
          <w:sz w:val="20"/>
        </w:rPr>
      </w:pPr>
      <w:r>
        <w:rPr>
          <w:sz w:val="20"/>
        </w:rPr>
        <w:t>(continued….)</w:t>
      </w:r>
    </w:p>
  </w:footnote>
  <w:footnote w:id="3">
    <w:p w:rsidR="00E51AFD" w:rsidRPr="0095363A" w:rsidP="00E51AFD" w14:paraId="78272A0B" w14:textId="30271F54">
      <w:pPr>
        <w:shd w:val="clear" w:color="auto" w:fill="FFFFFF"/>
        <w:tabs>
          <w:tab w:val="left" w:pos="125"/>
        </w:tabs>
        <w:spacing w:after="120"/>
        <w:ind w:left="14"/>
        <w:rPr>
          <w:sz w:val="20"/>
        </w:rPr>
      </w:pPr>
      <w:r w:rsidRPr="0095363A">
        <w:rPr>
          <w:rStyle w:val="FootnoteReference"/>
        </w:rPr>
        <w:footnoteRef/>
      </w:r>
      <w:r w:rsidRPr="0095363A">
        <w:rPr>
          <w:sz w:val="20"/>
        </w:rPr>
        <w:t xml:space="preserve"> 47 CFR §</w:t>
      </w:r>
      <w:r>
        <w:rPr>
          <w:sz w:val="20"/>
        </w:rPr>
        <w:t>§</w:t>
      </w:r>
      <w:r w:rsidRPr="0095363A">
        <w:rPr>
          <w:sz w:val="20"/>
        </w:rPr>
        <w:t xml:space="preserve"> 73.3598(a)</w:t>
      </w:r>
      <w:r>
        <w:rPr>
          <w:sz w:val="20"/>
        </w:rPr>
        <w:t xml:space="preserve"> and 73.1635(a)</w:t>
      </w:r>
      <w:r w:rsidRPr="0095363A">
        <w:rPr>
          <w:sz w:val="20"/>
        </w:rPr>
        <w:t>.</w:t>
      </w:r>
    </w:p>
  </w:footnote>
  <w:footnote w:id="4">
    <w:p w:rsidR="00FB4671" w:rsidRPr="0095363A" w:rsidP="00FB4671" w14:paraId="4C1B021A" w14:textId="77777777">
      <w:pPr>
        <w:pStyle w:val="FootnoteText"/>
      </w:pPr>
      <w:r w:rsidRPr="0095363A">
        <w:rPr>
          <w:rStyle w:val="FootnoteReference"/>
        </w:rPr>
        <w:footnoteRef/>
      </w:r>
      <w:r w:rsidRPr="0095363A">
        <w:t xml:space="preserve"> 47 CFR § 73.1745(a).</w:t>
      </w:r>
    </w:p>
  </w:footnote>
  <w:footnote w:id="5">
    <w:p w:rsidR="00FB4671" w:rsidRPr="0095363A" w:rsidP="00FB4671" w14:paraId="432C8772" w14:textId="77777777">
      <w:pPr>
        <w:shd w:val="clear" w:color="auto" w:fill="FFFFFF"/>
        <w:tabs>
          <w:tab w:val="left" w:pos="125"/>
        </w:tabs>
        <w:spacing w:after="120"/>
        <w:ind w:left="14"/>
        <w:rPr>
          <w:sz w:val="20"/>
        </w:rPr>
      </w:pPr>
      <w:r w:rsidRPr="0095363A">
        <w:rPr>
          <w:rStyle w:val="FootnoteReference"/>
        </w:rPr>
        <w:footnoteRef/>
      </w:r>
      <w:r w:rsidRPr="0095363A">
        <w:rPr>
          <w:sz w:val="20"/>
        </w:rPr>
        <w:t xml:space="preserve"> </w:t>
      </w:r>
      <w:r w:rsidRPr="0095363A">
        <w:rPr>
          <w:i/>
          <w:sz w:val="20"/>
        </w:rPr>
        <w:t>See</w:t>
      </w:r>
      <w:r w:rsidRPr="0095363A">
        <w:rPr>
          <w:sz w:val="20"/>
        </w:rPr>
        <w:t xml:space="preserve"> 47 U.S.C. § 301.</w:t>
      </w:r>
    </w:p>
  </w:footnote>
  <w:footnote w:id="6">
    <w:p w:rsidR="00176F14" w:rsidP="00176F14" w14:paraId="77FC86CB" w14:textId="0B48712A">
      <w:pPr>
        <w:pStyle w:val="FootnoteText"/>
      </w:pPr>
      <w:r>
        <w:rPr>
          <w:rStyle w:val="FootnoteReference"/>
        </w:rPr>
        <w:footnoteRef/>
      </w:r>
      <w:r>
        <w:t xml:space="preserve"> </w:t>
      </w:r>
      <w:r w:rsidR="00162375">
        <w:rPr>
          <w:i/>
          <w:iCs/>
        </w:rPr>
        <w:t>Roseland Broadcasting, Inc.</w:t>
      </w:r>
      <w:r w:rsidRPr="00474268">
        <w:rPr>
          <w:i/>
          <w:iCs/>
        </w:rPr>
        <w:t xml:space="preserve">, </w:t>
      </w:r>
      <w:r w:rsidRPr="00474268">
        <w:t>Memorandum Opinion and Order and Notice of Apparent Liability for Forfeiture, DA 2</w:t>
      </w:r>
      <w:r w:rsidR="0082727C">
        <w:t>3-</w:t>
      </w:r>
      <w:r w:rsidR="00162375">
        <w:t>1203</w:t>
      </w:r>
      <w:r w:rsidRPr="00474268">
        <w:t xml:space="preserve"> (MB </w:t>
      </w:r>
      <w:r w:rsidR="00162375">
        <w:t>Dec. 22,</w:t>
      </w:r>
      <w:r w:rsidRPr="00474268">
        <w:t xml:space="preserve"> 202</w:t>
      </w:r>
      <w:r w:rsidR="0082727C">
        <w:t>3</w:t>
      </w:r>
      <w:r>
        <w:t>)</w:t>
      </w:r>
      <w:r w:rsidR="007B0F67">
        <w:t xml:space="preserve"> (</w:t>
      </w:r>
      <w:r w:rsidR="007B0F67">
        <w:rPr>
          <w:i/>
          <w:iCs/>
        </w:rPr>
        <w:t>NAL</w:t>
      </w:r>
      <w:r w:rsidR="007B0F67">
        <w:t>)</w:t>
      </w:r>
      <w:r>
        <w:t>.</w:t>
      </w:r>
    </w:p>
  </w:footnote>
  <w:footnote w:id="7">
    <w:p w:rsidR="00162375" w:rsidRPr="0095363A" w:rsidP="00162375" w14:paraId="35EF02A9" w14:textId="34FCBEAF">
      <w:pPr>
        <w:pStyle w:val="FootnoteText"/>
        <w:widowControl w:val="0"/>
      </w:pPr>
      <w:r w:rsidRPr="0095363A">
        <w:rPr>
          <w:rStyle w:val="FootnoteReference"/>
        </w:rPr>
        <w:footnoteRef/>
      </w:r>
      <w:r w:rsidRPr="0095363A">
        <w:t xml:space="preserve"> </w:t>
      </w:r>
      <w:r w:rsidR="007E5C8E">
        <w:rPr>
          <w:i/>
          <w:iCs/>
        </w:rPr>
        <w:t>Id.</w:t>
      </w:r>
      <w:r w:rsidR="007E5C8E">
        <w:t xml:space="preserve"> at </w:t>
      </w:r>
      <w:r w:rsidR="00E51AFD">
        <w:t>para. 4</w:t>
      </w:r>
      <w:r w:rsidR="007E5C8E">
        <w:t xml:space="preserve"> </w:t>
      </w:r>
      <w:r w:rsidR="007E5C8E">
        <w:rPr>
          <w:i/>
          <w:iCs/>
        </w:rPr>
        <w:t xml:space="preserve">citing </w:t>
      </w:r>
      <w:r w:rsidRPr="0095363A">
        <w:t>47 CFR § 73.1745(a) and 47 U.S.C. § 301.</w:t>
      </w:r>
    </w:p>
  </w:footnote>
  <w:footnote w:id="8">
    <w:p w:rsidR="00162375" w:rsidRPr="0095363A" w:rsidP="00162375" w14:paraId="2D45DCAC" w14:textId="012E706C">
      <w:pPr>
        <w:pStyle w:val="FootnoteText"/>
      </w:pPr>
      <w:r w:rsidRPr="0095363A">
        <w:rPr>
          <w:rStyle w:val="FootnoteReference"/>
        </w:rPr>
        <w:footnoteRef/>
      </w:r>
      <w:r w:rsidRPr="0095363A">
        <w:t xml:space="preserve"> </w:t>
      </w:r>
      <w:r w:rsidR="007E5C8E">
        <w:rPr>
          <w:i/>
          <w:iCs/>
        </w:rPr>
        <w:t>Id.</w:t>
      </w:r>
      <w:r w:rsidR="00E51AFD">
        <w:t xml:space="preserve">  </w:t>
      </w:r>
      <w:r w:rsidRPr="0095363A">
        <w:t xml:space="preserve">Because the Station had a pending license to cover application on file, we </w:t>
      </w:r>
      <w:r>
        <w:t>did</w:t>
      </w:r>
      <w:r w:rsidRPr="0095363A">
        <w:t xml:space="preserve"> not consider the Station’s full power operations that resumed on September 25, 2023, as unauthorized for purposes of the proposed forfeiture.</w:t>
      </w:r>
      <w:r w:rsidR="007E5C8E">
        <w:t xml:space="preserve">  </w:t>
      </w:r>
      <w:r w:rsidR="007E5C8E">
        <w:rPr>
          <w:i/>
          <w:iCs/>
        </w:rPr>
        <w:t>Id.</w:t>
      </w:r>
      <w:r w:rsidR="007E5C8E">
        <w:t xml:space="preserve"> at 3, n. 29.</w:t>
      </w:r>
      <w:r w:rsidRPr="0095363A">
        <w:t xml:space="preserve">   </w:t>
      </w:r>
    </w:p>
  </w:footnote>
  <w:footnote w:id="9">
    <w:p w:rsidR="007E5C8E" w:rsidRPr="007E5C8E" w14:paraId="074983FE" w14:textId="34B3BED1">
      <w:pPr>
        <w:pStyle w:val="FootnoteText"/>
      </w:pPr>
      <w:r>
        <w:rPr>
          <w:rStyle w:val="FootnoteReference"/>
        </w:rPr>
        <w:footnoteRef/>
      </w:r>
      <w:r>
        <w:t xml:space="preserve"> </w:t>
      </w:r>
      <w:r>
        <w:rPr>
          <w:i/>
          <w:iCs/>
        </w:rPr>
        <w:t>Id.</w:t>
      </w:r>
      <w:r>
        <w:t xml:space="preserve"> at</w:t>
      </w:r>
      <w:r w:rsidR="00E51AFD">
        <w:t xml:space="preserve"> para.</w:t>
      </w:r>
      <w:r>
        <w:t xml:space="preserve"> 4.</w:t>
      </w:r>
    </w:p>
  </w:footnote>
  <w:footnote w:id="10">
    <w:p w:rsidR="007E5C8E" w:rsidRPr="007E5C8E" w14:paraId="1110A4C9" w14:textId="19CE4F53">
      <w:pPr>
        <w:pStyle w:val="FootnoteText"/>
      </w:pPr>
      <w:r>
        <w:rPr>
          <w:rStyle w:val="FootnoteReference"/>
        </w:rPr>
        <w:footnoteRef/>
      </w:r>
      <w:r>
        <w:t xml:space="preserve"> </w:t>
      </w:r>
      <w:r>
        <w:rPr>
          <w:i/>
          <w:iCs/>
        </w:rPr>
        <w:t>See</w:t>
      </w:r>
      <w:r>
        <w:t xml:space="preserve"> Roseland Broadcasting, Inc. - Request for Reduction (Jan. 22, 2024) (Request), a copy of which is available to Facility ID No. 48834.</w:t>
      </w:r>
    </w:p>
  </w:footnote>
  <w:footnote w:id="11">
    <w:p w:rsidR="007E5C8E" w:rsidRPr="007E5C8E" w14:paraId="57C7391D" w14:textId="5B10C20C">
      <w:pPr>
        <w:pStyle w:val="FootnoteText"/>
      </w:pPr>
      <w:r>
        <w:rPr>
          <w:rStyle w:val="FootnoteReference"/>
        </w:rPr>
        <w:footnoteRef/>
      </w:r>
      <w:r>
        <w:t xml:space="preserve"> </w:t>
      </w:r>
      <w:r>
        <w:rPr>
          <w:i/>
          <w:iCs/>
        </w:rPr>
        <w:t>Id</w:t>
      </w:r>
      <w:r>
        <w:t>. at 4.</w:t>
      </w:r>
    </w:p>
  </w:footnote>
  <w:footnote w:id="12">
    <w:p w:rsidR="006C2B8E" w:rsidP="006C2B8E" w14:paraId="7EE6AB99" w14:textId="3E47C2D5">
      <w:pPr>
        <w:pStyle w:val="FootnoteText"/>
      </w:pPr>
      <w:r>
        <w:rPr>
          <w:rStyle w:val="FootnoteReference"/>
        </w:rPr>
        <w:footnoteRef/>
      </w:r>
      <w:r>
        <w:t xml:space="preserve"> </w:t>
      </w:r>
      <w:r w:rsidR="00126708">
        <w:rPr>
          <w:i/>
          <w:iCs/>
        </w:rPr>
        <w:t>Id</w:t>
      </w:r>
      <w:r>
        <w:t>.</w:t>
      </w:r>
    </w:p>
  </w:footnote>
  <w:footnote w:id="13">
    <w:p w:rsidR="007E5C8E" w:rsidRPr="007E5C8E" w14:paraId="45DC7C74" w14:textId="36C4A8C2">
      <w:pPr>
        <w:pStyle w:val="FootnoteText"/>
      </w:pPr>
      <w:r>
        <w:rPr>
          <w:rStyle w:val="FootnoteReference"/>
        </w:rPr>
        <w:footnoteRef/>
      </w:r>
      <w:r>
        <w:t xml:space="preserve"> </w:t>
      </w:r>
      <w:r>
        <w:rPr>
          <w:i/>
          <w:iCs/>
        </w:rPr>
        <w:t xml:space="preserve">Id. </w:t>
      </w:r>
      <w:r>
        <w:t>at 5.</w:t>
      </w:r>
    </w:p>
  </w:footnote>
  <w:footnote w:id="14">
    <w:p w:rsidR="00ED2DBD" w:rsidRPr="00ED2DBD" w14:paraId="0A7A6F98" w14:textId="29325CDF">
      <w:pPr>
        <w:pStyle w:val="FootnoteText"/>
        <w:rPr>
          <w:i/>
          <w:iCs/>
        </w:rPr>
      </w:pPr>
      <w:r>
        <w:rPr>
          <w:rStyle w:val="FootnoteReference"/>
        </w:rPr>
        <w:footnoteRef/>
      </w:r>
      <w:r>
        <w:t xml:space="preserve"> </w:t>
      </w:r>
      <w:r>
        <w:rPr>
          <w:i/>
          <w:iCs/>
        </w:rPr>
        <w:t>Id.</w:t>
      </w:r>
      <w:r>
        <w:t xml:space="preserve"> </w:t>
      </w:r>
      <w:r>
        <w:rPr>
          <w:i/>
          <w:iCs/>
        </w:rPr>
        <w:t>citing Southwest Colorado TV Translator Association</w:t>
      </w:r>
      <w:r>
        <w:t xml:space="preserve">, Memorandum Opinion and Order and Notice of Apparent Liability for Forfeiture, 36 FCC </w:t>
      </w:r>
      <w:r>
        <w:t>Rcd</w:t>
      </w:r>
      <w:r>
        <w:t xml:space="preserve"> 18042 (2021)</w:t>
      </w:r>
      <w:r w:rsidR="00126708">
        <w:t xml:space="preserve"> (</w:t>
      </w:r>
      <w:r w:rsidR="00126708">
        <w:rPr>
          <w:i/>
          <w:iCs/>
        </w:rPr>
        <w:t>Southwest Colorado</w:t>
      </w:r>
      <w:r w:rsidR="00126708">
        <w:t>)</w:t>
      </w:r>
      <w:r>
        <w:t xml:space="preserve">; </w:t>
      </w:r>
      <w:r>
        <w:rPr>
          <w:i/>
          <w:iCs/>
        </w:rPr>
        <w:t>KAZT, LLC</w:t>
      </w:r>
      <w:r>
        <w:t xml:space="preserve">, Memorandum Opinion and Order and Notice of Apparent Liability, 36 FCC </w:t>
      </w:r>
      <w:r>
        <w:t>Rcd</w:t>
      </w:r>
      <w:r>
        <w:t xml:space="preserve"> 15530 (2021)</w:t>
      </w:r>
      <w:r w:rsidR="00126708">
        <w:t xml:space="preserve"> (</w:t>
      </w:r>
      <w:r w:rsidR="00126708">
        <w:rPr>
          <w:i/>
          <w:iCs/>
        </w:rPr>
        <w:t>KAZT</w:t>
      </w:r>
      <w:r w:rsidR="00126708">
        <w:t>)</w:t>
      </w:r>
      <w:r>
        <w:t xml:space="preserve">; and </w:t>
      </w:r>
      <w:r>
        <w:rPr>
          <w:i/>
          <w:iCs/>
        </w:rPr>
        <w:t>The Estate of Ettie Clark</w:t>
      </w:r>
      <w:r>
        <w:t xml:space="preserve">, Memorandum Opinion and Order and Notice of Apparent Liability, 37 FCC </w:t>
      </w:r>
      <w:r>
        <w:t>Rcd</w:t>
      </w:r>
      <w:r>
        <w:t xml:space="preserve"> 4111 (2022)</w:t>
      </w:r>
      <w:r w:rsidR="00126708">
        <w:t xml:space="preserve"> (</w:t>
      </w:r>
      <w:r w:rsidR="00126708">
        <w:rPr>
          <w:i/>
          <w:iCs/>
        </w:rPr>
        <w:t>Ettie Clark</w:t>
      </w:r>
      <w:r w:rsidR="00126708">
        <w:t>)</w:t>
      </w:r>
      <w:r>
        <w:t xml:space="preserve">.  </w:t>
      </w:r>
    </w:p>
  </w:footnote>
  <w:footnote w:id="15">
    <w:p w:rsidR="00AB0C6F" w:rsidP="00AB0C6F" w14:paraId="1AD59C64" w14:textId="77777777">
      <w:pPr>
        <w:pStyle w:val="FootnoteText"/>
      </w:pPr>
      <w:r>
        <w:rPr>
          <w:rStyle w:val="FootnoteReference"/>
        </w:rPr>
        <w:footnoteRef/>
      </w:r>
      <w:r>
        <w:t xml:space="preserve"> 47 U.S.C. § 503(b).</w:t>
      </w:r>
    </w:p>
  </w:footnote>
  <w:footnote w:id="16">
    <w:p w:rsidR="00AB0C6F" w:rsidP="00AB0C6F" w14:paraId="0FDD585C" w14:textId="7F94883A">
      <w:pPr>
        <w:pStyle w:val="FootnoteText"/>
      </w:pPr>
      <w:r>
        <w:rPr>
          <w:rStyle w:val="FootnoteReference"/>
        </w:rPr>
        <w:footnoteRef/>
      </w:r>
      <w:r>
        <w:t xml:space="preserve"> 47 CFR § 1.80. </w:t>
      </w:r>
    </w:p>
  </w:footnote>
  <w:footnote w:id="17">
    <w:p w:rsidR="00AB0C6F" w:rsidP="00AB0C6F" w14:paraId="39938575" w14:textId="5CEFDE9B">
      <w:pPr>
        <w:pStyle w:val="FootnoteText"/>
      </w:pPr>
      <w:r>
        <w:rPr>
          <w:rStyle w:val="FootnoteReference"/>
        </w:rPr>
        <w:footnoteRef/>
      </w:r>
      <w:r>
        <w:t xml:space="preserve"> </w:t>
      </w:r>
      <w:r w:rsidR="00BF1525">
        <w:rPr>
          <w:i/>
        </w:rPr>
        <w:t>See</w:t>
      </w:r>
      <w:r>
        <w:rPr>
          <w:i/>
        </w:rPr>
        <w:t xml:space="preserve"> </w:t>
      </w:r>
      <w:r w:rsidR="004146E1">
        <w:rPr>
          <w:i/>
        </w:rPr>
        <w:t>Forfeiture Policy Statement and Amendment of Section 1.80(b) of the Rules to Incorporate the Forfeiture Guidelines</w:t>
      </w:r>
      <w:r w:rsidR="004146E1">
        <w:t xml:space="preserve">, Report and Order, 12 FCC </w:t>
      </w:r>
      <w:r w:rsidR="004146E1">
        <w:t>Rcd</w:t>
      </w:r>
      <w:r w:rsidR="004146E1">
        <w:t xml:space="preserve"> 17087, 17113-15 (1997) </w:t>
      </w:r>
      <w:r w:rsidR="004146E1">
        <w:rPr>
          <w:i/>
        </w:rPr>
        <w:t>(Forfeiture Policy Statement),</w:t>
      </w:r>
      <w:r w:rsidR="004146E1">
        <w:t xml:space="preserve"> </w:t>
      </w:r>
      <w:r w:rsidR="004146E1">
        <w:rPr>
          <w:i/>
        </w:rPr>
        <w:t>recon. denied</w:t>
      </w:r>
      <w:r w:rsidR="004146E1">
        <w:t xml:space="preserve">, 15 FCC </w:t>
      </w:r>
      <w:r w:rsidR="004146E1">
        <w:t>Rcd</w:t>
      </w:r>
      <w:r w:rsidR="004146E1">
        <w:t xml:space="preserve"> 303 (1999)</w:t>
      </w:r>
      <w:r w:rsidR="00BF1525">
        <w:t>.</w:t>
      </w:r>
    </w:p>
  </w:footnote>
  <w:footnote w:id="18">
    <w:p w:rsidR="003959A2" w14:paraId="1BEFD607" w14:textId="3A9FA3FA">
      <w:pPr>
        <w:pStyle w:val="FootnoteText"/>
      </w:pPr>
      <w:r>
        <w:rPr>
          <w:rStyle w:val="FootnoteReference"/>
        </w:rPr>
        <w:footnoteRef/>
      </w:r>
      <w:r>
        <w:t xml:space="preserve"> </w:t>
      </w:r>
      <w:r w:rsidRPr="007A4CF9">
        <w:rPr>
          <w:i/>
          <w:iCs/>
        </w:rPr>
        <w:t>See Forfeiture Policy Statement and Amendment of Section 1.80(b) of the Rules to Incorporate the Forfeiture Guidelines</w:t>
      </w:r>
      <w:r>
        <w:t xml:space="preserve">, Report and Order, 12 FCC </w:t>
      </w:r>
      <w:r>
        <w:t>Rcd</w:t>
      </w:r>
      <w:r>
        <w:t xml:space="preserve"> 17087, 17113-15 (1997) (Forfeiture Policy Statement), recon. denied, Memorandum Opinion and Order, 15 FCC </w:t>
      </w:r>
      <w:r>
        <w:t>Rcd</w:t>
      </w:r>
      <w:r>
        <w:t xml:space="preserve"> 303 (1999); 47 CFR § 1.80(b)(10), note to paragraph (b)(10), Section I. </w:t>
      </w:r>
      <w:r w:rsidRPr="007A4CF9">
        <w:rPr>
          <w:i/>
          <w:iCs/>
        </w:rPr>
        <w:t xml:space="preserve"> See also Clear Channel</w:t>
      </w:r>
      <w:r>
        <w:t xml:space="preserve">, 26 FCC </w:t>
      </w:r>
      <w:r>
        <w:t>Rcd</w:t>
      </w:r>
      <w:r>
        <w:t xml:space="preserve"> at 7157 (“We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p>
  </w:footnote>
  <w:footnote w:id="19">
    <w:p w:rsidR="003959A2" w14:paraId="1F8D86FD" w14:textId="1DA65063">
      <w:pPr>
        <w:pStyle w:val="FootnoteText"/>
      </w:pPr>
      <w:r>
        <w:rPr>
          <w:rStyle w:val="FootnoteReference"/>
        </w:rPr>
        <w:footnoteRef/>
      </w:r>
      <w:r>
        <w:t xml:space="preserve"> </w:t>
      </w:r>
      <w:r w:rsidRPr="007A4CF9">
        <w:rPr>
          <w:i/>
          <w:iCs/>
        </w:rPr>
        <w:t>Forfeiture Policy Statement</w:t>
      </w:r>
      <w:r>
        <w:t xml:space="preserve">, </w:t>
      </w:r>
      <w:r w:rsidRPr="003959A2">
        <w:t xml:space="preserve">12 FCC </w:t>
      </w:r>
      <w:r w:rsidRPr="003959A2">
        <w:t>Rcd</w:t>
      </w:r>
      <w:r w:rsidRPr="003959A2">
        <w:t xml:space="preserve"> </w:t>
      </w:r>
      <w:r>
        <w:t>at</w:t>
      </w:r>
      <w:r w:rsidRPr="003959A2">
        <w:t xml:space="preserve"> 17113-15</w:t>
      </w:r>
      <w:r>
        <w:t xml:space="preserve">;  </w:t>
      </w:r>
      <w:r w:rsidRPr="003959A2">
        <w:t>47 CFR § 1.80(b)(10), note to paragraph (b)(10), Section I.</w:t>
      </w:r>
      <w:r>
        <w:t xml:space="preserve">  A</w:t>
      </w:r>
      <w:r w:rsidRPr="003959A2">
        <w:t xml:space="preserve"> broadcast station requires an authorization from the Commission to operate. </w:t>
      </w:r>
      <w:r w:rsidRPr="007A4CF9">
        <w:rPr>
          <w:i/>
          <w:iCs/>
        </w:rPr>
        <w:t>See</w:t>
      </w:r>
      <w:r w:rsidRPr="003959A2">
        <w:t xml:space="preserve"> 47 U.S.C. § 301.</w:t>
      </w:r>
    </w:p>
  </w:footnote>
  <w:footnote w:id="20">
    <w:p w:rsidR="00AB0C6F" w:rsidP="00AB0C6F" w14:paraId="6B73B0A5" w14:textId="1BA62F8E">
      <w:pPr>
        <w:pStyle w:val="FootnoteText"/>
      </w:pPr>
      <w:r>
        <w:rPr>
          <w:rStyle w:val="FootnoteReference"/>
        </w:rPr>
        <w:footnoteRef/>
      </w:r>
      <w:r>
        <w:t xml:space="preserve"> 47 U.S.C. § 503(b)(2)(E).</w:t>
      </w:r>
      <w:r w:rsidRPr="003959A2" w:rsidR="003959A2">
        <w:t xml:space="preserve"> </w:t>
      </w:r>
      <w:r w:rsidRPr="003959A2" w:rsidR="003959A2">
        <w:rPr>
          <w:i/>
          <w:iCs/>
        </w:rPr>
        <w:t>See</w:t>
      </w:r>
      <w:r w:rsidRPr="003959A2" w:rsidR="003959A2">
        <w:t xml:space="preserve"> </w:t>
      </w:r>
      <w:r w:rsidRPr="003959A2" w:rsidR="003959A2">
        <w:rPr>
          <w:i/>
          <w:iCs/>
        </w:rPr>
        <w:t>Forfeiture Policy Statement</w:t>
      </w:r>
      <w:r w:rsidRPr="003959A2" w:rsidR="003959A2">
        <w:t xml:space="preserve">, 12 FCC </w:t>
      </w:r>
      <w:r w:rsidRPr="003959A2" w:rsidR="003959A2">
        <w:t>Rcd</w:t>
      </w:r>
      <w:r w:rsidRPr="003959A2" w:rsidR="003959A2">
        <w:t xml:space="preserve"> at 17100; 47 CFR § 1.80(b)(10).</w:t>
      </w:r>
    </w:p>
  </w:footnote>
  <w:footnote w:id="21">
    <w:p w:rsidR="00126708" w14:paraId="25A08D2F" w14:textId="15DB74C9">
      <w:pPr>
        <w:pStyle w:val="FootnoteText"/>
      </w:pPr>
      <w:r>
        <w:rPr>
          <w:rStyle w:val="FootnoteReference"/>
        </w:rPr>
        <w:footnoteRef/>
      </w:r>
      <w:r>
        <w:t xml:space="preserve"> Request at 4.</w:t>
      </w:r>
    </w:p>
  </w:footnote>
  <w:footnote w:id="22">
    <w:p w:rsidR="00126708" w:rsidRPr="00126708" w14:paraId="3CCC48AA" w14:textId="6E41AC3E">
      <w:pPr>
        <w:pStyle w:val="FootnoteText"/>
        <w:rPr>
          <w:i/>
          <w:iCs/>
        </w:rPr>
      </w:pPr>
      <w:r>
        <w:rPr>
          <w:rStyle w:val="FootnoteReference"/>
        </w:rPr>
        <w:footnoteRef/>
      </w:r>
      <w:r>
        <w:t xml:space="preserve"> </w:t>
      </w:r>
      <w:r>
        <w:rPr>
          <w:i/>
          <w:iCs/>
        </w:rPr>
        <w:t>Id.</w:t>
      </w:r>
    </w:p>
  </w:footnote>
  <w:footnote w:id="23">
    <w:p w:rsidR="00126708" w:rsidRPr="00126708" w14:paraId="759D3D91" w14:textId="2C83FCDD">
      <w:pPr>
        <w:pStyle w:val="FootnoteText"/>
      </w:pPr>
      <w:r>
        <w:rPr>
          <w:rStyle w:val="FootnoteReference"/>
        </w:rPr>
        <w:footnoteRef/>
      </w:r>
      <w:r>
        <w:t xml:space="preserve"> </w:t>
      </w:r>
      <w:r>
        <w:rPr>
          <w:i/>
          <w:iCs/>
        </w:rPr>
        <w:t>See NAL</w:t>
      </w:r>
      <w:r>
        <w:t xml:space="preserve"> at</w:t>
      </w:r>
      <w:r w:rsidR="00E51AFD">
        <w:t xml:space="preserve"> para.</w:t>
      </w:r>
      <w:r>
        <w:t xml:space="preserve"> 5, n. 35.</w:t>
      </w:r>
    </w:p>
  </w:footnote>
  <w:footnote w:id="24">
    <w:p w:rsidR="00357DA4" w:rsidRPr="00F532FD" w14:paraId="0FD41BF9" w14:textId="0FEFF361">
      <w:pPr>
        <w:pStyle w:val="FootnoteText"/>
        <w:rPr>
          <w:i/>
          <w:iCs/>
        </w:rPr>
      </w:pPr>
      <w:r>
        <w:rPr>
          <w:rStyle w:val="FootnoteReference"/>
        </w:rPr>
        <w:footnoteRef/>
      </w:r>
      <w:r w:rsidR="00126708">
        <w:t xml:space="preserve"> In </w:t>
      </w:r>
      <w:r w:rsidR="00F532FD">
        <w:t xml:space="preserve">the </w:t>
      </w:r>
      <w:r w:rsidR="00126708">
        <w:rPr>
          <w:i/>
          <w:iCs/>
        </w:rPr>
        <w:t>Southwest</w:t>
      </w:r>
      <w:r w:rsidR="00F532FD">
        <w:rPr>
          <w:i/>
          <w:iCs/>
        </w:rPr>
        <w:t xml:space="preserve"> </w:t>
      </w:r>
      <w:r w:rsidRPr="00F532FD" w:rsidR="00F532FD">
        <w:rPr>
          <w:i/>
          <w:iCs/>
        </w:rPr>
        <w:t>Colorado</w:t>
      </w:r>
      <w:r w:rsidR="00F532FD">
        <w:t xml:space="preserve">, </w:t>
      </w:r>
      <w:r w:rsidRPr="00F532FD" w:rsidR="00F532FD">
        <w:rPr>
          <w:i/>
          <w:iCs/>
        </w:rPr>
        <w:t>KAZT</w:t>
      </w:r>
      <w:r w:rsidR="00F532FD">
        <w:t xml:space="preserve"> and </w:t>
      </w:r>
      <w:r w:rsidRPr="00F532FD" w:rsidR="00F532FD">
        <w:rPr>
          <w:i/>
          <w:iCs/>
        </w:rPr>
        <w:t>Ettie Clark</w:t>
      </w:r>
      <w:r w:rsidR="00F532FD">
        <w:t xml:space="preserve"> cases cited in the </w:t>
      </w:r>
      <w:r w:rsidRPr="00F532FD" w:rsidR="00F532FD">
        <w:t>NAL</w:t>
      </w:r>
      <w:r w:rsidR="00F532FD">
        <w:t xml:space="preserve">, </w:t>
      </w:r>
      <w:r w:rsidR="00F532FD">
        <w:rPr>
          <w:i/>
          <w:iCs/>
        </w:rPr>
        <w:t>supra</w:t>
      </w:r>
      <w:r w:rsidR="00F532FD">
        <w:t xml:space="preserve"> n. 12, the stations had a single case of failure to file a license to cover and a period of unauthorized operations and no history of similar past violations.</w:t>
      </w:r>
    </w:p>
  </w:footnote>
  <w:footnote w:id="25">
    <w:p w:rsidR="00CB556B" w:rsidRPr="00CB556B" w14:paraId="5C4E8B57" w14:textId="47AAD674">
      <w:pPr>
        <w:pStyle w:val="FootnoteText"/>
      </w:pPr>
      <w:r>
        <w:rPr>
          <w:rStyle w:val="FootnoteReference"/>
        </w:rPr>
        <w:footnoteRef/>
      </w:r>
      <w:r>
        <w:t xml:space="preserve"> 47 U.S.C. § 312(f)(1)</w:t>
      </w:r>
      <w:r w:rsidR="001E624F">
        <w:t xml:space="preserve"> (emphasis added)</w:t>
      </w:r>
      <w:r>
        <w:t>.</w:t>
      </w:r>
    </w:p>
  </w:footnote>
  <w:footnote w:id="26">
    <w:p w:rsidR="008369D8" w14:paraId="215E8B86" w14:textId="4652D4CD">
      <w:pPr>
        <w:pStyle w:val="FootnoteText"/>
      </w:pPr>
      <w:r>
        <w:rPr>
          <w:rStyle w:val="FootnoteReference"/>
        </w:rPr>
        <w:footnoteRef/>
      </w:r>
      <w:r>
        <w:t xml:space="preserve"> </w:t>
      </w:r>
      <w:r w:rsidRPr="008369D8">
        <w:t xml:space="preserve"> H.R. Rep. No. 97-765, 97th Cong. 2d Sess. 51 (1982), reprinted in 1982 U.S.C.C.A.N. 2294-95</w:t>
      </w:r>
      <w:r>
        <w:t>.</w:t>
      </w:r>
    </w:p>
  </w:footnote>
  <w:footnote w:id="27">
    <w:p w:rsidR="002E3827" w14:paraId="6539C331" w14:textId="52C614A7">
      <w:pPr>
        <w:pStyle w:val="FootnoteText"/>
      </w:pPr>
      <w:r>
        <w:rPr>
          <w:rStyle w:val="FootnoteReference"/>
        </w:rPr>
        <w:footnoteRef/>
      </w:r>
      <w:r>
        <w:t xml:space="preserve"> </w:t>
      </w:r>
      <w:r w:rsidRPr="00126708">
        <w:rPr>
          <w:i/>
          <w:iCs/>
        </w:rPr>
        <w:t>See e.g., Southern California Broadcasting Co.</w:t>
      </w:r>
      <w:r>
        <w:t xml:space="preserve">, Memorandum Opinion and Order, 6 FCC </w:t>
      </w:r>
      <w:r>
        <w:t>Rcd</w:t>
      </w:r>
      <w:r>
        <w:t xml:space="preserve"> 4387, para 3 (1991), recon. denied, 7 FCC </w:t>
      </w:r>
      <w:r>
        <w:t>Rcd</w:t>
      </w:r>
      <w:r>
        <w:t xml:space="preserve"> 3454 (1992) (stating that “inadvertence . . . is at best, ignorance of the law, which the Commission does not consider a mitigating circumstance”) (internal cite omitted); </w:t>
      </w:r>
      <w:r w:rsidRPr="00126708">
        <w:rPr>
          <w:i/>
          <w:iCs/>
        </w:rPr>
        <w:t>Townsquare Media of El Paso, Inc.</w:t>
      </w:r>
      <w:r>
        <w:t xml:space="preserve">, Notice of Apparent Liability for Forfeiture, 35 FCC </w:t>
      </w:r>
      <w:r>
        <w:t>Rcd</w:t>
      </w:r>
      <w:r>
        <w:t xml:space="preserve"> 6661, 6665, para. 5 &amp; n. 37 (EB 2020) (“It is immaterial whether . . . violations were inadvertent, the result of ignorance of the law, or the product of administrative oversight.”).</w:t>
      </w:r>
      <w:r w:rsidR="00AA7440">
        <w:t xml:space="preserve">  Likewise, it is well settled precedent that subsequent remedial actions, such as the efforts noted by RBI in its response to avoid future violations, response at 4, d</w:t>
      </w:r>
      <w:r w:rsidRPr="00AA7440" w:rsidR="00AA7440">
        <w:t>o not excuse or nullify a licensee’s violation of a Commission rule.</w:t>
      </w:r>
      <w:r w:rsidR="00AA7440">
        <w:t xml:space="preserve">  </w:t>
      </w:r>
      <w:r w:rsidRPr="008369D8" w:rsidR="00AA7440">
        <w:rPr>
          <w:i/>
          <w:iCs/>
        </w:rPr>
        <w:t>See Turner I</w:t>
      </w:r>
      <w:r w:rsidR="00AA7440">
        <w:t xml:space="preserve">, 28 FCC </w:t>
      </w:r>
      <w:r w:rsidR="00AA7440">
        <w:t>Rcd</w:t>
      </w:r>
      <w:r w:rsidR="00AA7440">
        <w:t xml:space="preserve"> 15455, 15460, para. 14 (</w:t>
      </w:r>
      <w:r w:rsidR="00AA7440">
        <w:t>Enf</w:t>
      </w:r>
      <w:r w:rsidR="00AA7440">
        <w:t xml:space="preserve">. Bur. 2013), </w:t>
      </w:r>
      <w:r w:rsidRPr="008369D8" w:rsidR="00AA7440">
        <w:rPr>
          <w:i/>
          <w:iCs/>
        </w:rPr>
        <w:t xml:space="preserve">citing </w:t>
      </w:r>
      <w:r w:rsidRPr="008369D8" w:rsidR="00AA7440">
        <w:rPr>
          <w:i/>
          <w:iCs/>
        </w:rPr>
        <w:t>Seawest</w:t>
      </w:r>
      <w:r w:rsidRPr="008369D8" w:rsidR="00AA7440">
        <w:rPr>
          <w:i/>
          <w:iCs/>
        </w:rPr>
        <w:t xml:space="preserve"> Yacht Brokers dba San Juan Marina Friday Harbor</w:t>
      </w:r>
      <w:r w:rsidR="00AA7440">
        <w:t xml:space="preserve">, Notice of Forfeiture, 9 FCC </w:t>
      </w:r>
      <w:r w:rsidR="00AA7440">
        <w:t>Rcd</w:t>
      </w:r>
      <w:r w:rsidR="00AA7440">
        <w:t xml:space="preserve"> 6099 (1994) (noting that “corrective action taken to come into compliance with Commission rules or policy is expected, and does not nullify or mitigate any prior forfeitures or violations”); </w:t>
      </w:r>
      <w:r w:rsidRPr="008369D8" w:rsidR="00AA7440">
        <w:rPr>
          <w:i/>
          <w:iCs/>
        </w:rPr>
        <w:t>Station KGVL, Inc.</w:t>
      </w:r>
      <w:r w:rsidR="00AA7440">
        <w:t xml:space="preserve">, Memorandum Opinion and Order, 42 FCC 2d 258, 259, para. 6 (1973); </w:t>
      </w:r>
      <w:r w:rsidRPr="008369D8" w:rsidR="00AA7440">
        <w:rPr>
          <w:i/>
          <w:iCs/>
        </w:rPr>
        <w:t>Exec. Broad. Corp</w:t>
      </w:r>
      <w:r w:rsidR="00AA7440">
        <w:t>., Memorandum Opinion and Order, 3 FCC 2d 699, 699, para. 6 (1966) (“The fact that prompt corrective action was taken . . . does not excuse the prior violations.”)).</w:t>
      </w:r>
    </w:p>
  </w:footnote>
  <w:footnote w:id="28">
    <w:p w:rsidR="00CB304F" w:rsidRPr="00F532FD" w:rsidP="00F532FD" w14:paraId="3E2E12C4" w14:textId="5C2481BE">
      <w:pPr>
        <w:pStyle w:val="FootnoteText"/>
      </w:pPr>
      <w:r>
        <w:rPr>
          <w:rStyle w:val="FootnoteReference"/>
        </w:rPr>
        <w:footnoteRef/>
      </w:r>
      <w:r>
        <w:t xml:space="preserve"> </w:t>
      </w:r>
      <w:r w:rsidR="001D5EBF">
        <w:t>Re</w:t>
      </w:r>
      <w:r w:rsidR="00F532FD">
        <w:t>quest</w:t>
      </w:r>
      <w:r w:rsidR="001D5EBF">
        <w:t xml:space="preserve"> at </w:t>
      </w:r>
      <w:r w:rsidR="00F532FD">
        <w:t>4</w:t>
      </w:r>
      <w:r w:rsidR="00FA1409">
        <w:t xml:space="preserve"> citin</w:t>
      </w:r>
      <w:r w:rsidR="00F532FD">
        <w:t xml:space="preserve">g </w:t>
      </w:r>
      <w:r w:rsidRPr="00F532FD" w:rsidR="00F532FD">
        <w:rPr>
          <w:i/>
          <w:iCs/>
        </w:rPr>
        <w:t>Requests for Review of Decisions of the</w:t>
      </w:r>
      <w:r w:rsidR="00212D07">
        <w:rPr>
          <w:i/>
          <w:iCs/>
        </w:rPr>
        <w:t xml:space="preserve"> </w:t>
      </w:r>
      <w:r w:rsidRPr="00F532FD" w:rsidR="00F532FD">
        <w:rPr>
          <w:i/>
          <w:iCs/>
        </w:rPr>
        <w:t>Universal Service Administrator by Brewster Academy</w:t>
      </w:r>
      <w:r w:rsidR="00F532FD">
        <w:t xml:space="preserve">, Order, 22 FCC </w:t>
      </w:r>
      <w:r w:rsidR="00F532FD">
        <w:t>Rcd</w:t>
      </w:r>
      <w:r w:rsidR="00F532FD">
        <w:t xml:space="preserve"> 9185 (WCB 2007)</w:t>
      </w:r>
      <w:r w:rsidR="00212D07">
        <w:t xml:space="preserve"> (</w:t>
      </w:r>
      <w:r w:rsidR="00212D07">
        <w:rPr>
          <w:i/>
          <w:iCs/>
        </w:rPr>
        <w:t>Brewster Academy</w:t>
      </w:r>
      <w:r w:rsidR="00212D07">
        <w:t>)</w:t>
      </w:r>
      <w:r w:rsidR="00F532FD">
        <w:t xml:space="preserve">; </w:t>
      </w:r>
      <w:r w:rsidR="00F532FD">
        <w:rPr>
          <w:i/>
          <w:iCs/>
        </w:rPr>
        <w:t>Bishop Perry</w:t>
      </w:r>
      <w:r w:rsidR="00F532FD">
        <w:t xml:space="preserve">, Order, 21 FCC </w:t>
      </w:r>
      <w:r w:rsidR="00F532FD">
        <w:t>Rcd</w:t>
      </w:r>
      <w:r w:rsidR="00F532FD">
        <w:t xml:space="preserve"> 5316 (2006) (</w:t>
      </w:r>
      <w:r w:rsidRPr="00F532FD" w:rsidR="00F532FD">
        <w:rPr>
          <w:i/>
          <w:iCs/>
        </w:rPr>
        <w:t>Bishop Perry</w:t>
      </w:r>
      <w:r w:rsidR="00F532FD">
        <w:t>).</w:t>
      </w:r>
    </w:p>
  </w:footnote>
  <w:footnote w:id="29">
    <w:p w:rsidR="00455CE5" w:rsidP="005F167D" w14:paraId="41BA0BB3" w14:textId="6471979A">
      <w:pPr>
        <w:pStyle w:val="FootnoteText"/>
      </w:pPr>
      <w:r>
        <w:rPr>
          <w:rStyle w:val="FootnoteReference"/>
        </w:rPr>
        <w:footnoteRef/>
      </w:r>
      <w:r>
        <w:t xml:space="preserve"> </w:t>
      </w:r>
      <w:r w:rsidR="00F532FD">
        <w:rPr>
          <w:i/>
          <w:iCs/>
        </w:rPr>
        <w:t xml:space="preserve">Bishop </w:t>
      </w:r>
      <w:r w:rsidRPr="00F532FD" w:rsidR="00F532FD">
        <w:t>Perry</w:t>
      </w:r>
      <w:r w:rsidR="00F532FD">
        <w:t xml:space="preserve">, 21 FCC </w:t>
      </w:r>
      <w:r w:rsidR="00F532FD">
        <w:t>Rcd</w:t>
      </w:r>
      <w:r w:rsidR="00F532FD">
        <w:t xml:space="preserve"> at </w:t>
      </w:r>
      <w:r w:rsidR="00212D07">
        <w:t>5317,</w:t>
      </w:r>
      <w:r w:rsidR="00D13CCF">
        <w:t xml:space="preserve"> 5320,</w:t>
      </w:r>
      <w:r w:rsidR="00212D07">
        <w:t xml:space="preserve"> 5324 and 5327-8, paras. </w:t>
      </w:r>
      <w:r w:rsidR="00D65EE5">
        <w:t>2</w:t>
      </w:r>
      <w:r w:rsidR="00B748A0">
        <w:t xml:space="preserve">, </w:t>
      </w:r>
      <w:r w:rsidR="00D13CCF">
        <w:t xml:space="preserve">9, </w:t>
      </w:r>
      <w:r w:rsidR="00B748A0">
        <w:t>14</w:t>
      </w:r>
      <w:r w:rsidR="00FA1409">
        <w:t>,</w:t>
      </w:r>
      <w:r w:rsidR="00550124">
        <w:t xml:space="preserve"> and 23</w:t>
      </w:r>
      <w:r w:rsidRPr="00E93384" w:rsidR="00E93384">
        <w:t>.</w:t>
      </w:r>
      <w:r w:rsidR="00540592">
        <w:t xml:space="preserve">  The Commission later clarified that </w:t>
      </w:r>
      <w:r w:rsidR="00992890">
        <w:t>clerical or ministerial errors</w:t>
      </w:r>
      <w:r w:rsidR="006A44D2">
        <w:t xml:space="preserve"> that warrant relief</w:t>
      </w:r>
      <w:r w:rsidR="00992890">
        <w:t xml:space="preserve"> include “</w:t>
      </w:r>
      <w:r w:rsidRPr="00992890" w:rsidR="00992890">
        <w:t>only the kinds of errors that a typist might make when entering data from one list to another, such as mistyping a number, using the wrong name or phone number, failing to enter an item from the source list onto the application, or making an arithmetic error</w:t>
      </w:r>
      <w:r w:rsidR="00992890">
        <w:t>.”</w:t>
      </w:r>
      <w:r w:rsidR="005F167D">
        <w:t xml:space="preserve">  </w:t>
      </w:r>
      <w:r w:rsidRPr="005F167D" w:rsidR="005F167D">
        <w:rPr>
          <w:i/>
          <w:iCs/>
        </w:rPr>
        <w:t>Sch</w:t>
      </w:r>
      <w:r w:rsidR="005F167D">
        <w:rPr>
          <w:i/>
          <w:iCs/>
        </w:rPr>
        <w:t xml:space="preserve">ool and Libraries </w:t>
      </w:r>
      <w:r w:rsidRPr="005F167D" w:rsidR="005F167D">
        <w:rPr>
          <w:i/>
          <w:iCs/>
        </w:rPr>
        <w:t>Universal Ser</w:t>
      </w:r>
      <w:r w:rsidR="005F167D">
        <w:rPr>
          <w:i/>
          <w:iCs/>
        </w:rPr>
        <w:t>vice</w:t>
      </w:r>
      <w:r w:rsidRPr="005F167D" w:rsidR="005F167D">
        <w:rPr>
          <w:i/>
          <w:iCs/>
        </w:rPr>
        <w:t xml:space="preserve"> Support Mechanism</w:t>
      </w:r>
      <w:r w:rsidRPr="005F167D" w:rsidR="005F167D">
        <w:t xml:space="preserve">, </w:t>
      </w:r>
      <w:r w:rsidR="005F167D">
        <w:t>Order, 2</w:t>
      </w:r>
      <w:r w:rsidRPr="005F167D" w:rsidR="005F167D">
        <w:t xml:space="preserve">6 FCC </w:t>
      </w:r>
      <w:r w:rsidRPr="005F167D" w:rsidR="005F167D">
        <w:t>Rcd</w:t>
      </w:r>
      <w:r w:rsidRPr="005F167D" w:rsidR="005F167D">
        <w:t xml:space="preserve"> 6487, 6489</w:t>
      </w:r>
      <w:r w:rsidR="005F167D">
        <w:t>, para. 5</w:t>
      </w:r>
      <w:r w:rsidRPr="005F167D" w:rsidR="005F167D">
        <w:t xml:space="preserve"> (2011)</w:t>
      </w:r>
      <w:r w:rsidR="005F167D">
        <w:t xml:space="preserve">.  </w:t>
      </w:r>
      <w:r w:rsidR="00992890">
        <w:t xml:space="preserve">These are not the type of </w:t>
      </w:r>
      <w:r w:rsidR="00723140">
        <w:t xml:space="preserve">inadvertent errors or oversights </w:t>
      </w:r>
      <w:r w:rsidR="00992890">
        <w:t>present here.</w:t>
      </w:r>
    </w:p>
  </w:footnote>
  <w:footnote w:id="30">
    <w:p w:rsidR="00B81DA2" w14:paraId="54F09326" w14:textId="66425824">
      <w:pPr>
        <w:pStyle w:val="FootnoteText"/>
      </w:pPr>
      <w:r>
        <w:rPr>
          <w:rStyle w:val="FootnoteReference"/>
        </w:rPr>
        <w:footnoteRef/>
      </w:r>
      <w:r>
        <w:t xml:space="preserve"> </w:t>
      </w:r>
      <w:r w:rsidRPr="00341035" w:rsidR="00830A90">
        <w:rPr>
          <w:i/>
          <w:iCs/>
        </w:rPr>
        <w:t>Bishop Perry</w:t>
      </w:r>
      <w:r w:rsidRPr="00341035" w:rsidR="00830A90">
        <w:t>,</w:t>
      </w:r>
      <w:r w:rsidR="00830A90">
        <w:t xml:space="preserve"> 21 FCC </w:t>
      </w:r>
      <w:r w:rsidR="00830A90">
        <w:t>Rcd</w:t>
      </w:r>
      <w:r w:rsidR="00830A90">
        <w:t xml:space="preserve"> at </w:t>
      </w:r>
      <w:r w:rsidR="00341035">
        <w:t>532</w:t>
      </w:r>
      <w:r w:rsidR="00107F93">
        <w:t>1-22</w:t>
      </w:r>
      <w:r w:rsidR="00341035">
        <w:t>, para. 12.</w:t>
      </w:r>
    </w:p>
  </w:footnote>
  <w:footnote w:id="31">
    <w:p w:rsidR="009D17F8" w:rsidRPr="00212D07" w14:paraId="35101324" w14:textId="5BCB4A7C">
      <w:pPr>
        <w:pStyle w:val="FootnoteText"/>
        <w:rPr>
          <w:i/>
          <w:iCs/>
        </w:rPr>
      </w:pPr>
      <w:r>
        <w:rPr>
          <w:rStyle w:val="FootnoteReference"/>
        </w:rPr>
        <w:footnoteRef/>
      </w:r>
      <w:r>
        <w:t xml:space="preserve"> </w:t>
      </w:r>
      <w:r w:rsidR="00212D07">
        <w:rPr>
          <w:i/>
          <w:iCs/>
        </w:rPr>
        <w:t>Id.</w:t>
      </w:r>
      <w:r w:rsidRPr="00107F93" w:rsidR="001B58DD">
        <w:t xml:space="preserve"> at </w:t>
      </w:r>
      <w:r w:rsidRPr="00107F93" w:rsidR="00D13CCF">
        <w:t>5320</w:t>
      </w:r>
      <w:r w:rsidRPr="00107F93" w:rsidR="00107F93">
        <w:t>, para. 9.</w:t>
      </w:r>
    </w:p>
  </w:footnote>
  <w:footnote w:id="32">
    <w:p w:rsidR="0085336E" w14:paraId="6FFEAC6B" w14:textId="13F824FC">
      <w:pPr>
        <w:pStyle w:val="FootnoteText"/>
      </w:pPr>
      <w:r>
        <w:rPr>
          <w:rStyle w:val="FootnoteReference"/>
        </w:rPr>
        <w:footnoteRef/>
      </w:r>
      <w:r>
        <w:t xml:space="preserve"> </w:t>
      </w:r>
      <w:r w:rsidRPr="00126708">
        <w:rPr>
          <w:i/>
          <w:iCs/>
        </w:rPr>
        <w:t>See</w:t>
      </w:r>
      <w:r w:rsidRPr="00126708" w:rsidR="008B4C15">
        <w:rPr>
          <w:i/>
          <w:iCs/>
        </w:rPr>
        <w:t xml:space="preserve"> e.g.,</w:t>
      </w:r>
      <w:r>
        <w:t xml:space="preserve"> 47 U.S.C. §</w:t>
      </w:r>
      <w:r w:rsidR="008B4C15">
        <w:t>§</w:t>
      </w:r>
      <w:r>
        <w:t xml:space="preserve"> 151 and 301.</w:t>
      </w:r>
    </w:p>
  </w:footnote>
  <w:footnote w:id="33">
    <w:p w:rsidR="001678BF" w:rsidP="003959A2" w14:paraId="751A2786" w14:textId="6636FAF7">
      <w:pPr>
        <w:pStyle w:val="FootnoteText"/>
      </w:pPr>
      <w:r>
        <w:rPr>
          <w:rStyle w:val="FootnoteReference"/>
        </w:rPr>
        <w:footnoteRef/>
      </w:r>
      <w:r>
        <w:t xml:space="preserve"> </w:t>
      </w:r>
      <w:r w:rsidR="007A52B4">
        <w:rPr>
          <w:i/>
          <w:iCs/>
        </w:rPr>
        <w:t xml:space="preserve">See </w:t>
      </w:r>
      <w:r w:rsidR="007A52B4">
        <w:t xml:space="preserve">Letter to </w:t>
      </w:r>
      <w:r w:rsidRPr="007A52B4" w:rsidR="007A52B4">
        <w:t>Roseland Broadcasting, Inc</w:t>
      </w:r>
      <w:r w:rsidR="007A52B4">
        <w:t xml:space="preserve">., </w:t>
      </w:r>
      <w:r w:rsidRPr="007A52B4" w:rsidR="007A52B4">
        <w:t>K07AAJ-D, Bakersfield, CA</w:t>
      </w:r>
      <w:r w:rsidR="007A52B4">
        <w:t xml:space="preserve"> from Barbara A. Kreisman, Chief, Video Division (Oct. 13, 2023) a copy of which is available at LMS </w:t>
      </w:r>
      <w:r w:rsidRPr="007A52B4" w:rsidR="007A52B4">
        <w:t>Facility ID No. 181741</w:t>
      </w:r>
      <w:r w:rsidR="007A52B4">
        <w:t>.</w:t>
      </w:r>
    </w:p>
  </w:footnote>
  <w:footnote w:id="34">
    <w:p w:rsidR="003959A2" w14:paraId="6FF597A6" w14:textId="4D980E4B">
      <w:pPr>
        <w:pStyle w:val="FootnoteText"/>
      </w:pPr>
      <w:r>
        <w:rPr>
          <w:rStyle w:val="FootnoteReference"/>
        </w:rPr>
        <w:footnoteRef/>
      </w:r>
      <w:r>
        <w:t xml:space="preserve"> </w:t>
      </w:r>
      <w:r w:rsidRPr="004026DE">
        <w:t>47 CFR §§ 73.3598(a) and 73.1635(a).</w:t>
      </w:r>
    </w:p>
  </w:footnote>
  <w:footnote w:id="35">
    <w:p w:rsidR="00CB556B" w:rsidRPr="0095363A" w:rsidP="00CB556B" w14:paraId="1F4B9330" w14:textId="77777777">
      <w:pPr>
        <w:pStyle w:val="FootnoteText"/>
      </w:pPr>
      <w:r w:rsidRPr="0095363A">
        <w:rPr>
          <w:rStyle w:val="FootnoteReference"/>
        </w:rPr>
        <w:footnoteRef/>
      </w:r>
      <w:r w:rsidRPr="0095363A">
        <w:t xml:space="preserve"> 47 CFR § 73.1745(a).</w:t>
      </w:r>
    </w:p>
  </w:footnote>
  <w:footnote w:id="36">
    <w:p w:rsidR="00CB556B" w:rsidRPr="0095363A" w:rsidP="00CB556B" w14:paraId="315A5043" w14:textId="77777777">
      <w:pPr>
        <w:shd w:val="clear" w:color="auto" w:fill="FFFFFF"/>
        <w:tabs>
          <w:tab w:val="left" w:pos="125"/>
        </w:tabs>
        <w:spacing w:after="120"/>
        <w:ind w:left="14"/>
        <w:rPr>
          <w:sz w:val="20"/>
        </w:rPr>
      </w:pPr>
      <w:r w:rsidRPr="0095363A">
        <w:rPr>
          <w:rStyle w:val="FootnoteReference"/>
        </w:rPr>
        <w:footnoteRef/>
      </w:r>
      <w:r w:rsidRPr="0095363A">
        <w:rPr>
          <w:sz w:val="20"/>
        </w:rPr>
        <w:t xml:space="preserve"> </w:t>
      </w:r>
      <w:r w:rsidRPr="0095363A">
        <w:rPr>
          <w:i/>
          <w:sz w:val="20"/>
        </w:rPr>
        <w:t>See</w:t>
      </w:r>
      <w:r w:rsidRPr="0095363A">
        <w:rPr>
          <w:sz w:val="20"/>
        </w:rPr>
        <w:t xml:space="preserve"> 47 U.S.C. § 301.</w:t>
      </w:r>
    </w:p>
  </w:footnote>
  <w:footnote w:id="37">
    <w:p w:rsidR="00DC4AB6" w:rsidP="00E51AFD" w14:paraId="6832D6ED" w14:textId="699C3CE9">
      <w:pPr>
        <w:pStyle w:val="FootnoteText"/>
        <w:keepNext/>
        <w:keepLines/>
        <w:widowControl w:val="0"/>
      </w:pPr>
      <w:r>
        <w:rPr>
          <w:rStyle w:val="FootnoteReference"/>
        </w:rPr>
        <w:footnoteRef/>
      </w:r>
      <w:r>
        <w:t xml:space="preserve"> We will act on the pending license renewal application by separate staff action, following conclusion of this forfeiture proceeding and in accordance with the Commission renewal standard set forth under section 309(k) of the Act.  </w:t>
      </w:r>
      <w:r w:rsidRPr="00C42C83">
        <w:rPr>
          <w:i/>
          <w:iCs/>
        </w:rPr>
        <w:t>See</w:t>
      </w:r>
      <w:r>
        <w:t xml:space="preserve"> </w:t>
      </w:r>
      <w:r w:rsidR="003959A2">
        <w:t xml:space="preserve">NAL at para. 9; </w:t>
      </w:r>
      <w:r>
        <w:t>47 U.S.C. § 309(k).</w:t>
      </w:r>
      <w:r w:rsidR="003959A2">
        <w:t xml:space="preserve">  While the Station is authorized to continue to operate during the pendency of its License Application pursuant to the parameters set forth therein, if the Station must operate at variance from these parameters it must file all required notifications and applications with the Commission. Any questions with regards to making such filings should be directed to Shaun Maher, Attorney-Advisor, Video Division, Media Bureau by e-mail at </w:t>
      </w:r>
      <w:hyperlink r:id="rId1" w:history="1">
        <w:r w:rsidRPr="00D56E50" w:rsidR="003959A2">
          <w:rPr>
            <w:rStyle w:val="Hyperlink"/>
          </w:rPr>
          <w:t>Shaun.Maher@fcc.gov</w:t>
        </w:r>
      </w:hyperlink>
      <w:r w:rsidR="003959A2">
        <w:t xml:space="preserve"> (legal) or Mark Colombo, Associate Division Chief, Video Division, Media Bureau by e-mail at </w:t>
      </w:r>
      <w:hyperlink r:id="rId2" w:history="1">
        <w:r w:rsidRPr="00D56E50" w:rsidR="003959A2">
          <w:rPr>
            <w:rStyle w:val="Hyperlink"/>
          </w:rPr>
          <w:t>Mark.Colombo@fcc.gov</w:t>
        </w:r>
      </w:hyperlink>
      <w:r w:rsidR="003959A2">
        <w:t xml:space="preserve"> (LMS/technical).  </w:t>
      </w:r>
      <w:r w:rsidRPr="007A4CF9" w:rsidR="003959A2">
        <w:rPr>
          <w:i/>
          <w:iCs/>
        </w:rPr>
        <w:t xml:space="preserve">See NAL </w:t>
      </w:r>
      <w:r w:rsidR="003959A2">
        <w:t>at n.36.</w:t>
      </w:r>
    </w:p>
  </w:footnote>
  <w:footnote w:id="38">
    <w:p w:rsidR="00CB556B" w14:paraId="5DB2606E" w14:textId="7C5BA7F9">
      <w:pPr>
        <w:pStyle w:val="FootnoteText"/>
      </w:pPr>
      <w:r>
        <w:rPr>
          <w:rStyle w:val="FootnoteReference"/>
        </w:rPr>
        <w:footnoteRef/>
      </w:r>
      <w:r>
        <w:t xml:space="preserve"> </w:t>
      </w:r>
      <w:r w:rsidRPr="002E2D58" w:rsidR="002E2D58">
        <w:rPr>
          <w:i/>
          <w:iCs/>
        </w:rPr>
        <w:t xml:space="preserve">See </w:t>
      </w:r>
      <w:r w:rsidRPr="002E2D58" w:rsidR="002E2D58">
        <w:t>LMS File No. 0000218484</w:t>
      </w:r>
      <w:r w:rsidR="002E2D58">
        <w:t xml:space="preserve">.  </w:t>
      </w:r>
      <w:r w:rsidRPr="00CB556B">
        <w:t xml:space="preserve">While the Station is authorized to continue to operate during the pendency of its </w:t>
      </w:r>
      <w:r w:rsidR="002E2D58">
        <w:t>l</w:t>
      </w:r>
      <w:r w:rsidRPr="00CB556B">
        <w:t xml:space="preserve">icense </w:t>
      </w:r>
      <w:r w:rsidR="002E2D58">
        <w:t>a</w:t>
      </w:r>
      <w:r w:rsidRPr="00CB556B">
        <w:t xml:space="preserve">pplication pursuant to the parameters set forth therein, if the Station must operate at variance from these parameters it must file all required notifications and applications with the Commission. Any questions with regards to making such filings should be directed to Shaun Maher, Attorney-Advisor, Video Division, Media Bureau by e-mail at </w:t>
      </w:r>
      <w:hyperlink r:id="rId1" w:history="1">
        <w:r w:rsidRPr="006757D9">
          <w:rPr>
            <w:rStyle w:val="Hyperlink"/>
          </w:rPr>
          <w:t>Shaun.Maher@fcc.gov</w:t>
        </w:r>
      </w:hyperlink>
      <w:r>
        <w:t xml:space="preserve"> </w:t>
      </w:r>
      <w:r w:rsidRPr="00CB556B">
        <w:t xml:space="preserve"> (legal) or Mark Colombo, Associate Division Chief, Video Division, Media Bureau by e-mail at </w:t>
      </w:r>
      <w:hyperlink r:id="rId2" w:history="1">
        <w:r w:rsidRPr="006757D9">
          <w:rPr>
            <w:rStyle w:val="Hyperlink"/>
          </w:rPr>
          <w:t>Mark.Colombo@fcc.gov</w:t>
        </w:r>
      </w:hyperlink>
      <w:r>
        <w:t xml:space="preserve"> </w:t>
      </w:r>
      <w:r w:rsidRPr="00CB556B">
        <w:t>(LMS/technical).</w:t>
      </w:r>
    </w:p>
  </w:footnote>
  <w:footnote w:id="39">
    <w:p w:rsidR="00920489" w:rsidP="00920489" w14:paraId="167F8729" w14:textId="77777777">
      <w:pPr>
        <w:pStyle w:val="FootnoteText"/>
      </w:pPr>
      <w:r>
        <w:rPr>
          <w:rStyle w:val="FootnoteReference"/>
        </w:rPr>
        <w:footnoteRef/>
      </w:r>
      <w:r>
        <w:t xml:space="preserve"> 47 U.S.C. § 503(b); 47 C.F.R. §§ 0.283, 1.80.</w:t>
      </w:r>
    </w:p>
  </w:footnote>
  <w:footnote w:id="40">
    <w:p w:rsidR="003959A2" w14:paraId="5E2836E9" w14:textId="6E90491F">
      <w:pPr>
        <w:pStyle w:val="FootnoteText"/>
      </w:pPr>
      <w:r>
        <w:rPr>
          <w:rStyle w:val="FootnoteReference"/>
        </w:rPr>
        <w:footnoteRef/>
      </w:r>
      <w:r>
        <w:t xml:space="preserve"> </w:t>
      </w:r>
      <w:r w:rsidRPr="004026DE">
        <w:t>47 CFR §§ 73.3598(a) and 73.1635(a).</w:t>
      </w:r>
    </w:p>
  </w:footnote>
  <w:footnote w:id="41">
    <w:p w:rsidR="00CB556B" w:rsidRPr="0095363A" w:rsidP="00CB556B" w14:paraId="75EDD2F8" w14:textId="77777777">
      <w:pPr>
        <w:pStyle w:val="FootnoteText"/>
      </w:pPr>
      <w:r w:rsidRPr="0095363A">
        <w:rPr>
          <w:rStyle w:val="FootnoteReference"/>
        </w:rPr>
        <w:footnoteRef/>
      </w:r>
      <w:r w:rsidRPr="0095363A">
        <w:t xml:space="preserve"> 47 CFR § 73.1745(a).</w:t>
      </w:r>
    </w:p>
  </w:footnote>
  <w:footnote w:id="42">
    <w:p w:rsidR="00CB556B" w:rsidRPr="0095363A" w:rsidP="00CB556B" w14:paraId="3FC36D07" w14:textId="77777777">
      <w:pPr>
        <w:shd w:val="clear" w:color="auto" w:fill="FFFFFF"/>
        <w:tabs>
          <w:tab w:val="left" w:pos="125"/>
        </w:tabs>
        <w:spacing w:after="120"/>
        <w:ind w:left="14"/>
        <w:rPr>
          <w:sz w:val="20"/>
        </w:rPr>
      </w:pPr>
      <w:r w:rsidRPr="0095363A">
        <w:rPr>
          <w:rStyle w:val="FootnoteReference"/>
        </w:rPr>
        <w:footnoteRef/>
      </w:r>
      <w:r w:rsidRPr="0095363A">
        <w:rPr>
          <w:sz w:val="20"/>
        </w:rPr>
        <w:t xml:space="preserve"> </w:t>
      </w:r>
      <w:r w:rsidRPr="0095363A">
        <w:rPr>
          <w:i/>
          <w:sz w:val="20"/>
        </w:rPr>
        <w:t>See</w:t>
      </w:r>
      <w:r w:rsidRPr="0095363A">
        <w:rPr>
          <w:sz w:val="20"/>
        </w:rPr>
        <w:t xml:space="preserve"> 47 U.S.C. § 301.</w:t>
      </w:r>
    </w:p>
  </w:footnote>
  <w:footnote w:id="43">
    <w:p w:rsidR="00FC463C" w:rsidRPr="00514C8E" w:rsidP="00FC463C" w14:paraId="5DFAEB7D"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44">
    <w:p w:rsidR="00FC463C" w:rsidRPr="00514C8E" w:rsidP="00FC463C" w14:paraId="7E291211"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3" w:history="1">
        <w:r w:rsidRPr="00514C8E">
          <w:rPr>
            <w:rStyle w:val="Hyperlink"/>
          </w:rPr>
          <w:t>ARINQUIRIES@fcc.gov</w:t>
        </w:r>
      </w:hyperlink>
      <w:r w:rsidRPr="00514C8E">
        <w:t xml:space="preserve">.  </w:t>
      </w:r>
    </w:p>
  </w:footnote>
  <w:footnote w:id="45">
    <w:p w:rsidR="00CC4E35" w:rsidRPr="00514C8E" w:rsidP="00CC4E35" w14:paraId="39F32A8C" w14:textId="77777777">
      <w:pPr>
        <w:pStyle w:val="FootnoteText"/>
      </w:pPr>
      <w:r w:rsidRPr="00514C8E">
        <w:rPr>
          <w:rStyle w:val="FootnoteReference"/>
        </w:rPr>
        <w:footnoteRef/>
      </w:r>
      <w:r w:rsidRPr="00514C8E">
        <w:t xml:space="preserve"> Instructions for completing the form may be obtained at </w:t>
      </w:r>
      <w:hyperlink r:id="rId4" w:history="1">
        <w:r w:rsidRPr="00514C8E">
          <w:rPr>
            <w:rStyle w:val="Hyperlink"/>
          </w:rPr>
          <w:t>https://www.fcc.gov/Forms/Form159/159.pdf</w:t>
        </w:r>
      </w:hyperlink>
      <w:r w:rsidRPr="00514C8E">
        <w:t xml:space="preserve">. </w:t>
      </w:r>
    </w:p>
  </w:footnote>
  <w:footnote w:id="46">
    <w:p w:rsidR="00BB5D4C" w14:paraId="4AA9C014" w14:textId="5D91A4EB">
      <w:pPr>
        <w:pStyle w:val="FootnoteText"/>
      </w:pPr>
      <w:r>
        <w:rPr>
          <w:rStyle w:val="FootnoteReference"/>
        </w:rPr>
        <w:footnoteRef/>
      </w:r>
      <w:r>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422" w14:paraId="170B12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FD68E" w14:textId="16E3E329">
    <w:pPr>
      <w:pStyle w:val="Header"/>
      <w:rPr>
        <w:b w:val="0"/>
      </w:rPr>
    </w:pPr>
    <w:r>
      <w:tab/>
      <w:t>Federal Communications Commission</w:t>
    </w:r>
    <w:r>
      <w:tab/>
    </w:r>
    <w:r w:rsidR="00420D78">
      <w:t xml:space="preserve">DA </w:t>
    </w:r>
    <w:r w:rsidR="002D062A">
      <w:t>2</w:t>
    </w:r>
    <w:r w:rsidR="006D6D1D">
      <w:t>4</w:t>
    </w:r>
    <w:r w:rsidR="00420D78">
      <w:t>-</w:t>
    </w:r>
    <w:r w:rsidR="00FD6422">
      <w:t>328</w:t>
    </w:r>
  </w:p>
  <w:p w:rsidR="00A35A37" w14:paraId="3C8FD68F" w14:textId="6A233C3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35A37" w14:paraId="3C8FD69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FD695" w14:textId="2A71D72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264785">
      <w:tab/>
      <w:t>Federal Communications Commission</w:t>
    </w:r>
    <w:r w:rsidR="00264785">
      <w:tab/>
    </w:r>
    <w:r w:rsidR="00E609ED">
      <w:rPr>
        <w:spacing w:val="-2"/>
      </w:rPr>
      <w:t xml:space="preserve">DA </w:t>
    </w:r>
    <w:r w:rsidR="00264785">
      <w:rPr>
        <w:spacing w:val="-2"/>
      </w:rPr>
      <w:t>2</w:t>
    </w:r>
    <w:r w:rsidR="006D6D1D">
      <w:rPr>
        <w:spacing w:val="-2"/>
      </w:rPr>
      <w:t>4</w:t>
    </w:r>
    <w:r w:rsidR="00264785">
      <w:rPr>
        <w:spacing w:val="-2"/>
      </w:rPr>
      <w:t>-</w:t>
    </w:r>
    <w:r w:rsidR="00FD6422">
      <w:rPr>
        <w:spacing w:val="-2"/>
      </w:rPr>
      <w:t>328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5077DA"/>
    <w:multiLevelType w:val="hybridMultilevel"/>
    <w:tmpl w:val="8AA427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5881ECC"/>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AE2CC9"/>
    <w:multiLevelType w:val="hybridMultilevel"/>
    <w:tmpl w:val="9FB2ED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multilevel"/>
    <w:tmpl w:val="A262FDF4"/>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6"/>
  </w:num>
  <w:num w:numId="4">
    <w:abstractNumId w:val="9"/>
  </w:num>
  <w:num w:numId="5">
    <w:abstractNumId w:val="3"/>
  </w:num>
  <w:num w:numId="6">
    <w:abstractNumId w:val="0"/>
  </w:num>
  <w:num w:numId="7">
    <w:abstractNumId w:val="10"/>
    <w:lvlOverride w:ilvl="0">
      <w:startOverride w:val="1"/>
    </w:lvlOverride>
  </w:num>
  <w:num w:numId="8">
    <w:abstractNumId w:val="10"/>
    <w:lvlOverride w:ilvl="0">
      <w:startOverride w:val="1"/>
    </w:lvlOverride>
  </w:num>
  <w:num w:numId="9">
    <w:abstractNumId w:val="8"/>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5"/>
  </w:num>
  <w:num w:numId="22">
    <w:abstractNumId w:val="10"/>
  </w:num>
  <w:num w:numId="23">
    <w:abstractNumId w:val="10"/>
  </w:num>
  <w:num w:numId="24">
    <w:abstractNumId w:val="7"/>
  </w:num>
  <w:num w:numId="25">
    <w:abstractNumId w:val="1"/>
  </w:num>
  <w:num w:numId="2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17CF"/>
    <w:rsid w:val="00035EC6"/>
    <w:rsid w:val="00036039"/>
    <w:rsid w:val="00036411"/>
    <w:rsid w:val="00037F90"/>
    <w:rsid w:val="00043678"/>
    <w:rsid w:val="00045ADC"/>
    <w:rsid w:val="00045E14"/>
    <w:rsid w:val="00053D65"/>
    <w:rsid w:val="00054D5A"/>
    <w:rsid w:val="00063EEE"/>
    <w:rsid w:val="000654EE"/>
    <w:rsid w:val="00071B60"/>
    <w:rsid w:val="000725CB"/>
    <w:rsid w:val="000820BC"/>
    <w:rsid w:val="000875BF"/>
    <w:rsid w:val="000901F8"/>
    <w:rsid w:val="00096D8C"/>
    <w:rsid w:val="000A3596"/>
    <w:rsid w:val="000B6193"/>
    <w:rsid w:val="000C0B65"/>
    <w:rsid w:val="000C50F6"/>
    <w:rsid w:val="000C7413"/>
    <w:rsid w:val="000D1113"/>
    <w:rsid w:val="000D4656"/>
    <w:rsid w:val="000D54FB"/>
    <w:rsid w:val="000E05FE"/>
    <w:rsid w:val="000E0645"/>
    <w:rsid w:val="000E1603"/>
    <w:rsid w:val="000E3D42"/>
    <w:rsid w:val="000F0BCB"/>
    <w:rsid w:val="001048C9"/>
    <w:rsid w:val="001058BC"/>
    <w:rsid w:val="00107F93"/>
    <w:rsid w:val="001172AD"/>
    <w:rsid w:val="001212E8"/>
    <w:rsid w:val="001213BF"/>
    <w:rsid w:val="00122BD5"/>
    <w:rsid w:val="0012588F"/>
    <w:rsid w:val="00126708"/>
    <w:rsid w:val="00126C67"/>
    <w:rsid w:val="001304DB"/>
    <w:rsid w:val="00133F79"/>
    <w:rsid w:val="0013711B"/>
    <w:rsid w:val="00162375"/>
    <w:rsid w:val="001678BF"/>
    <w:rsid w:val="00170A84"/>
    <w:rsid w:val="001717AC"/>
    <w:rsid w:val="0017296B"/>
    <w:rsid w:val="00176F14"/>
    <w:rsid w:val="00181FE7"/>
    <w:rsid w:val="00183402"/>
    <w:rsid w:val="00194A66"/>
    <w:rsid w:val="00196E45"/>
    <w:rsid w:val="001B58DD"/>
    <w:rsid w:val="001D4BEC"/>
    <w:rsid w:val="001D5806"/>
    <w:rsid w:val="001D5EBF"/>
    <w:rsid w:val="001D6BCF"/>
    <w:rsid w:val="001E01CA"/>
    <w:rsid w:val="001E26B1"/>
    <w:rsid w:val="001E369A"/>
    <w:rsid w:val="001E624F"/>
    <w:rsid w:val="001E6B52"/>
    <w:rsid w:val="002007ED"/>
    <w:rsid w:val="002061F7"/>
    <w:rsid w:val="0021192F"/>
    <w:rsid w:val="00212D07"/>
    <w:rsid w:val="00231F60"/>
    <w:rsid w:val="002340A4"/>
    <w:rsid w:val="00237984"/>
    <w:rsid w:val="00241692"/>
    <w:rsid w:val="00252C1A"/>
    <w:rsid w:val="002546D1"/>
    <w:rsid w:val="00264785"/>
    <w:rsid w:val="00272DD9"/>
    <w:rsid w:val="00273BC7"/>
    <w:rsid w:val="00275CF5"/>
    <w:rsid w:val="00276A0A"/>
    <w:rsid w:val="00282131"/>
    <w:rsid w:val="0028301F"/>
    <w:rsid w:val="00285017"/>
    <w:rsid w:val="00285AC6"/>
    <w:rsid w:val="002A1B0D"/>
    <w:rsid w:val="002A2D2E"/>
    <w:rsid w:val="002C00E8"/>
    <w:rsid w:val="002D062A"/>
    <w:rsid w:val="002E2D58"/>
    <w:rsid w:val="002E3827"/>
    <w:rsid w:val="002E733C"/>
    <w:rsid w:val="003066D8"/>
    <w:rsid w:val="003121A2"/>
    <w:rsid w:val="0031230D"/>
    <w:rsid w:val="0032346C"/>
    <w:rsid w:val="00335A80"/>
    <w:rsid w:val="003374BB"/>
    <w:rsid w:val="00341035"/>
    <w:rsid w:val="00343749"/>
    <w:rsid w:val="00357DA4"/>
    <w:rsid w:val="003660ED"/>
    <w:rsid w:val="003751EA"/>
    <w:rsid w:val="00382CE9"/>
    <w:rsid w:val="00395813"/>
    <w:rsid w:val="003959A2"/>
    <w:rsid w:val="003B0550"/>
    <w:rsid w:val="003B25BD"/>
    <w:rsid w:val="003B4A47"/>
    <w:rsid w:val="003B694F"/>
    <w:rsid w:val="003C5B79"/>
    <w:rsid w:val="003D16D8"/>
    <w:rsid w:val="003E64F8"/>
    <w:rsid w:val="003F1059"/>
    <w:rsid w:val="003F171C"/>
    <w:rsid w:val="004026DE"/>
    <w:rsid w:val="00410459"/>
    <w:rsid w:val="00412FC5"/>
    <w:rsid w:val="004146E1"/>
    <w:rsid w:val="00415116"/>
    <w:rsid w:val="00416163"/>
    <w:rsid w:val="00420D78"/>
    <w:rsid w:val="0042225E"/>
    <w:rsid w:val="00422276"/>
    <w:rsid w:val="004232E5"/>
    <w:rsid w:val="004242F1"/>
    <w:rsid w:val="004303B8"/>
    <w:rsid w:val="00430C57"/>
    <w:rsid w:val="00445A00"/>
    <w:rsid w:val="0044736D"/>
    <w:rsid w:val="0045059F"/>
    <w:rsid w:val="00451B0F"/>
    <w:rsid w:val="00453DE0"/>
    <w:rsid w:val="004545F2"/>
    <w:rsid w:val="00455CE5"/>
    <w:rsid w:val="00462660"/>
    <w:rsid w:val="00474268"/>
    <w:rsid w:val="00483113"/>
    <w:rsid w:val="00487B18"/>
    <w:rsid w:val="004C2EE3"/>
    <w:rsid w:val="004D0B01"/>
    <w:rsid w:val="004E4A22"/>
    <w:rsid w:val="004F329A"/>
    <w:rsid w:val="005034CF"/>
    <w:rsid w:val="00506331"/>
    <w:rsid w:val="00506A53"/>
    <w:rsid w:val="00511968"/>
    <w:rsid w:val="00514C8E"/>
    <w:rsid w:val="0052085F"/>
    <w:rsid w:val="00535AA0"/>
    <w:rsid w:val="0053688B"/>
    <w:rsid w:val="00540592"/>
    <w:rsid w:val="00550124"/>
    <w:rsid w:val="00555C06"/>
    <w:rsid w:val="00555D44"/>
    <w:rsid w:val="0055614C"/>
    <w:rsid w:val="005626C9"/>
    <w:rsid w:val="005627AA"/>
    <w:rsid w:val="005632BC"/>
    <w:rsid w:val="00566D06"/>
    <w:rsid w:val="00566F7E"/>
    <w:rsid w:val="0057317B"/>
    <w:rsid w:val="005A26E4"/>
    <w:rsid w:val="005A3217"/>
    <w:rsid w:val="005C1BDD"/>
    <w:rsid w:val="005E0432"/>
    <w:rsid w:val="005E14C2"/>
    <w:rsid w:val="005E1C7E"/>
    <w:rsid w:val="005E6C01"/>
    <w:rsid w:val="005F167D"/>
    <w:rsid w:val="005F4ABB"/>
    <w:rsid w:val="00607BA5"/>
    <w:rsid w:val="00607DF7"/>
    <w:rsid w:val="0061180A"/>
    <w:rsid w:val="00611C6A"/>
    <w:rsid w:val="00623E30"/>
    <w:rsid w:val="00626EB6"/>
    <w:rsid w:val="006347F7"/>
    <w:rsid w:val="00635DDC"/>
    <w:rsid w:val="00647EF0"/>
    <w:rsid w:val="00655D03"/>
    <w:rsid w:val="00657C33"/>
    <w:rsid w:val="006617ED"/>
    <w:rsid w:val="006757D9"/>
    <w:rsid w:val="00683388"/>
    <w:rsid w:val="00683563"/>
    <w:rsid w:val="00683F84"/>
    <w:rsid w:val="00685DAF"/>
    <w:rsid w:val="00691A6F"/>
    <w:rsid w:val="0069401C"/>
    <w:rsid w:val="006A431C"/>
    <w:rsid w:val="006A44D2"/>
    <w:rsid w:val="006A6A81"/>
    <w:rsid w:val="006B3281"/>
    <w:rsid w:val="006B6469"/>
    <w:rsid w:val="006C2B8E"/>
    <w:rsid w:val="006D6D1D"/>
    <w:rsid w:val="006E2BE3"/>
    <w:rsid w:val="006F5704"/>
    <w:rsid w:val="006F7393"/>
    <w:rsid w:val="00700C1E"/>
    <w:rsid w:val="0070224F"/>
    <w:rsid w:val="007115F7"/>
    <w:rsid w:val="00714E25"/>
    <w:rsid w:val="007173FF"/>
    <w:rsid w:val="0072020B"/>
    <w:rsid w:val="00721969"/>
    <w:rsid w:val="00723140"/>
    <w:rsid w:val="0072332E"/>
    <w:rsid w:val="00723432"/>
    <w:rsid w:val="007240F4"/>
    <w:rsid w:val="00730898"/>
    <w:rsid w:val="007401B4"/>
    <w:rsid w:val="00740764"/>
    <w:rsid w:val="00751713"/>
    <w:rsid w:val="00753680"/>
    <w:rsid w:val="00762D04"/>
    <w:rsid w:val="00780BEF"/>
    <w:rsid w:val="00785689"/>
    <w:rsid w:val="007907DD"/>
    <w:rsid w:val="00794906"/>
    <w:rsid w:val="00796C43"/>
    <w:rsid w:val="0079754B"/>
    <w:rsid w:val="007A1E6D"/>
    <w:rsid w:val="007A3A02"/>
    <w:rsid w:val="007A4CF9"/>
    <w:rsid w:val="007A52B4"/>
    <w:rsid w:val="007B0EB2"/>
    <w:rsid w:val="007B0F67"/>
    <w:rsid w:val="007B26A7"/>
    <w:rsid w:val="007B307A"/>
    <w:rsid w:val="007C1D08"/>
    <w:rsid w:val="007C21B5"/>
    <w:rsid w:val="007C615C"/>
    <w:rsid w:val="007C7079"/>
    <w:rsid w:val="007D14F1"/>
    <w:rsid w:val="007D1A59"/>
    <w:rsid w:val="007E5C8E"/>
    <w:rsid w:val="007F1E21"/>
    <w:rsid w:val="007F3488"/>
    <w:rsid w:val="00800212"/>
    <w:rsid w:val="00810B6F"/>
    <w:rsid w:val="00817892"/>
    <w:rsid w:val="00822A61"/>
    <w:rsid w:val="00822CE0"/>
    <w:rsid w:val="0082727C"/>
    <w:rsid w:val="00830A90"/>
    <w:rsid w:val="008369D8"/>
    <w:rsid w:val="00841AB1"/>
    <w:rsid w:val="00847642"/>
    <w:rsid w:val="0085336E"/>
    <w:rsid w:val="008569C1"/>
    <w:rsid w:val="00866EDF"/>
    <w:rsid w:val="00872C28"/>
    <w:rsid w:val="0089279E"/>
    <w:rsid w:val="008959F6"/>
    <w:rsid w:val="00896067"/>
    <w:rsid w:val="00897E68"/>
    <w:rsid w:val="00897F62"/>
    <w:rsid w:val="008A1320"/>
    <w:rsid w:val="008A4E03"/>
    <w:rsid w:val="008A7897"/>
    <w:rsid w:val="008A7B15"/>
    <w:rsid w:val="008B1EEC"/>
    <w:rsid w:val="008B4C15"/>
    <w:rsid w:val="008B7BD6"/>
    <w:rsid w:val="008C2BCD"/>
    <w:rsid w:val="008C67E4"/>
    <w:rsid w:val="008C68F1"/>
    <w:rsid w:val="008D2163"/>
    <w:rsid w:val="008D7833"/>
    <w:rsid w:val="008E13B0"/>
    <w:rsid w:val="008E69DD"/>
    <w:rsid w:val="008F3ACB"/>
    <w:rsid w:val="008F6E01"/>
    <w:rsid w:val="008F7DBB"/>
    <w:rsid w:val="00902EFC"/>
    <w:rsid w:val="00904263"/>
    <w:rsid w:val="00904E58"/>
    <w:rsid w:val="00907B92"/>
    <w:rsid w:val="009131B2"/>
    <w:rsid w:val="00920489"/>
    <w:rsid w:val="00921803"/>
    <w:rsid w:val="00926503"/>
    <w:rsid w:val="00935865"/>
    <w:rsid w:val="0094066C"/>
    <w:rsid w:val="00953297"/>
    <w:rsid w:val="0095363A"/>
    <w:rsid w:val="009556B5"/>
    <w:rsid w:val="009563AA"/>
    <w:rsid w:val="009724F1"/>
    <w:rsid w:val="009726D8"/>
    <w:rsid w:val="00975D6A"/>
    <w:rsid w:val="00981685"/>
    <w:rsid w:val="0098544D"/>
    <w:rsid w:val="009918B1"/>
    <w:rsid w:val="00992890"/>
    <w:rsid w:val="009A22EB"/>
    <w:rsid w:val="009A4A76"/>
    <w:rsid w:val="009B790E"/>
    <w:rsid w:val="009C4870"/>
    <w:rsid w:val="009D011E"/>
    <w:rsid w:val="009D02C8"/>
    <w:rsid w:val="009D17F8"/>
    <w:rsid w:val="009D7308"/>
    <w:rsid w:val="009E1AAE"/>
    <w:rsid w:val="009E1D06"/>
    <w:rsid w:val="009F6D26"/>
    <w:rsid w:val="009F76DB"/>
    <w:rsid w:val="00A02420"/>
    <w:rsid w:val="00A30F82"/>
    <w:rsid w:val="00A32C3B"/>
    <w:rsid w:val="00A35A37"/>
    <w:rsid w:val="00A41574"/>
    <w:rsid w:val="00A4217E"/>
    <w:rsid w:val="00A45F4F"/>
    <w:rsid w:val="00A5143F"/>
    <w:rsid w:val="00A54B35"/>
    <w:rsid w:val="00A600A9"/>
    <w:rsid w:val="00A77AB0"/>
    <w:rsid w:val="00A8173D"/>
    <w:rsid w:val="00A82BD2"/>
    <w:rsid w:val="00A8735B"/>
    <w:rsid w:val="00A87645"/>
    <w:rsid w:val="00A94C43"/>
    <w:rsid w:val="00AA2FE8"/>
    <w:rsid w:val="00AA55B7"/>
    <w:rsid w:val="00AA5B9E"/>
    <w:rsid w:val="00AA7159"/>
    <w:rsid w:val="00AA7440"/>
    <w:rsid w:val="00AB0C6F"/>
    <w:rsid w:val="00AB2407"/>
    <w:rsid w:val="00AB53DF"/>
    <w:rsid w:val="00AC1D92"/>
    <w:rsid w:val="00AC51C7"/>
    <w:rsid w:val="00AD5028"/>
    <w:rsid w:val="00B02842"/>
    <w:rsid w:val="00B048A6"/>
    <w:rsid w:val="00B06453"/>
    <w:rsid w:val="00B07E5C"/>
    <w:rsid w:val="00B16540"/>
    <w:rsid w:val="00B24633"/>
    <w:rsid w:val="00B26A91"/>
    <w:rsid w:val="00B33D26"/>
    <w:rsid w:val="00B35ACD"/>
    <w:rsid w:val="00B47910"/>
    <w:rsid w:val="00B62ED1"/>
    <w:rsid w:val="00B748A0"/>
    <w:rsid w:val="00B749BC"/>
    <w:rsid w:val="00B811F7"/>
    <w:rsid w:val="00B815CB"/>
    <w:rsid w:val="00B81DA2"/>
    <w:rsid w:val="00B910CE"/>
    <w:rsid w:val="00B9477C"/>
    <w:rsid w:val="00BA5DC6"/>
    <w:rsid w:val="00BA6196"/>
    <w:rsid w:val="00BB3F17"/>
    <w:rsid w:val="00BB5D4C"/>
    <w:rsid w:val="00BB7476"/>
    <w:rsid w:val="00BC6D8C"/>
    <w:rsid w:val="00BC79DB"/>
    <w:rsid w:val="00BE2843"/>
    <w:rsid w:val="00BE60E9"/>
    <w:rsid w:val="00BF125A"/>
    <w:rsid w:val="00BF1525"/>
    <w:rsid w:val="00C11997"/>
    <w:rsid w:val="00C122A3"/>
    <w:rsid w:val="00C34006"/>
    <w:rsid w:val="00C36B4C"/>
    <w:rsid w:val="00C36FF4"/>
    <w:rsid w:val="00C426B1"/>
    <w:rsid w:val="00C42C83"/>
    <w:rsid w:val="00C61D17"/>
    <w:rsid w:val="00C63228"/>
    <w:rsid w:val="00C66160"/>
    <w:rsid w:val="00C721AC"/>
    <w:rsid w:val="00C733D7"/>
    <w:rsid w:val="00C76547"/>
    <w:rsid w:val="00C76FA1"/>
    <w:rsid w:val="00C90D6A"/>
    <w:rsid w:val="00C9230A"/>
    <w:rsid w:val="00CA247E"/>
    <w:rsid w:val="00CA2DEB"/>
    <w:rsid w:val="00CA6D21"/>
    <w:rsid w:val="00CB2BFE"/>
    <w:rsid w:val="00CB2C01"/>
    <w:rsid w:val="00CB304F"/>
    <w:rsid w:val="00CB34AF"/>
    <w:rsid w:val="00CB556B"/>
    <w:rsid w:val="00CB6F67"/>
    <w:rsid w:val="00CC03DE"/>
    <w:rsid w:val="00CC4E35"/>
    <w:rsid w:val="00CC72B6"/>
    <w:rsid w:val="00CD6085"/>
    <w:rsid w:val="00CE5DE1"/>
    <w:rsid w:val="00CF0BDA"/>
    <w:rsid w:val="00CF7A6B"/>
    <w:rsid w:val="00D0218D"/>
    <w:rsid w:val="00D10256"/>
    <w:rsid w:val="00D13CCF"/>
    <w:rsid w:val="00D15EF1"/>
    <w:rsid w:val="00D17789"/>
    <w:rsid w:val="00D25FB5"/>
    <w:rsid w:val="00D33C3D"/>
    <w:rsid w:val="00D37815"/>
    <w:rsid w:val="00D426DF"/>
    <w:rsid w:val="00D4296A"/>
    <w:rsid w:val="00D44223"/>
    <w:rsid w:val="00D56E50"/>
    <w:rsid w:val="00D60218"/>
    <w:rsid w:val="00D61EA0"/>
    <w:rsid w:val="00D65EE5"/>
    <w:rsid w:val="00D677BC"/>
    <w:rsid w:val="00D7153B"/>
    <w:rsid w:val="00D7256D"/>
    <w:rsid w:val="00D7716E"/>
    <w:rsid w:val="00D82EEE"/>
    <w:rsid w:val="00D90B91"/>
    <w:rsid w:val="00D9501C"/>
    <w:rsid w:val="00DA2529"/>
    <w:rsid w:val="00DB130A"/>
    <w:rsid w:val="00DB2EBB"/>
    <w:rsid w:val="00DC10A1"/>
    <w:rsid w:val="00DC3C7D"/>
    <w:rsid w:val="00DC4AB6"/>
    <w:rsid w:val="00DC4C48"/>
    <w:rsid w:val="00DC655F"/>
    <w:rsid w:val="00DD0B59"/>
    <w:rsid w:val="00DD7EBD"/>
    <w:rsid w:val="00DE156A"/>
    <w:rsid w:val="00DF11EA"/>
    <w:rsid w:val="00DF62B6"/>
    <w:rsid w:val="00DF7F44"/>
    <w:rsid w:val="00E023CC"/>
    <w:rsid w:val="00E07225"/>
    <w:rsid w:val="00E07574"/>
    <w:rsid w:val="00E07965"/>
    <w:rsid w:val="00E1189A"/>
    <w:rsid w:val="00E132B8"/>
    <w:rsid w:val="00E17F04"/>
    <w:rsid w:val="00E40B0F"/>
    <w:rsid w:val="00E442F4"/>
    <w:rsid w:val="00E47253"/>
    <w:rsid w:val="00E519CD"/>
    <w:rsid w:val="00E51AFD"/>
    <w:rsid w:val="00E5409F"/>
    <w:rsid w:val="00E56A44"/>
    <w:rsid w:val="00E609ED"/>
    <w:rsid w:val="00E60C96"/>
    <w:rsid w:val="00E7486F"/>
    <w:rsid w:val="00E809FD"/>
    <w:rsid w:val="00E829EB"/>
    <w:rsid w:val="00E84127"/>
    <w:rsid w:val="00E862BC"/>
    <w:rsid w:val="00E875D4"/>
    <w:rsid w:val="00E93384"/>
    <w:rsid w:val="00E93516"/>
    <w:rsid w:val="00EC2D9D"/>
    <w:rsid w:val="00ED25F4"/>
    <w:rsid w:val="00ED2DBD"/>
    <w:rsid w:val="00ED78F9"/>
    <w:rsid w:val="00EE1335"/>
    <w:rsid w:val="00EE46E6"/>
    <w:rsid w:val="00EE6488"/>
    <w:rsid w:val="00EF1226"/>
    <w:rsid w:val="00EF143D"/>
    <w:rsid w:val="00EF5F0F"/>
    <w:rsid w:val="00F012B8"/>
    <w:rsid w:val="00F021FA"/>
    <w:rsid w:val="00F15337"/>
    <w:rsid w:val="00F15CAF"/>
    <w:rsid w:val="00F17133"/>
    <w:rsid w:val="00F2211B"/>
    <w:rsid w:val="00F41D41"/>
    <w:rsid w:val="00F46FBC"/>
    <w:rsid w:val="00F532FD"/>
    <w:rsid w:val="00F62E97"/>
    <w:rsid w:val="00F64209"/>
    <w:rsid w:val="00F72499"/>
    <w:rsid w:val="00F7571E"/>
    <w:rsid w:val="00F93BF5"/>
    <w:rsid w:val="00F9447E"/>
    <w:rsid w:val="00F959AD"/>
    <w:rsid w:val="00F976F4"/>
    <w:rsid w:val="00FA1409"/>
    <w:rsid w:val="00FA7F32"/>
    <w:rsid w:val="00FB1D0D"/>
    <w:rsid w:val="00FB4671"/>
    <w:rsid w:val="00FC3772"/>
    <w:rsid w:val="00FC3DBA"/>
    <w:rsid w:val="00FC463C"/>
    <w:rsid w:val="00FC4AB3"/>
    <w:rsid w:val="00FD3076"/>
    <w:rsid w:val="00FD6422"/>
    <w:rsid w:val="00FF6DF8"/>
    <w:rsid w:val="00FF7C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8FD656"/>
  <w15:chartTrackingRefBased/>
  <w15:docId w15:val="{D25AB962-DF1D-44EF-AEB7-992E861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6D"/>
    <w:pPr>
      <w:widowControl w:val="0"/>
    </w:pPr>
    <w:rPr>
      <w:snapToGrid w:val="0"/>
      <w:kern w:val="28"/>
      <w:sz w:val="22"/>
    </w:rPr>
  </w:style>
  <w:style w:type="paragraph" w:styleId="Heading1">
    <w:name w:val="heading 1"/>
    <w:basedOn w:val="Normal"/>
    <w:next w:val="ParaNum"/>
    <w:qFormat/>
    <w:rsid w:val="0044736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4736D"/>
    <w:pPr>
      <w:keepNext/>
      <w:numPr>
        <w:ilvl w:val="1"/>
        <w:numId w:val="3"/>
      </w:numPr>
      <w:spacing w:after="120"/>
      <w:outlineLvl w:val="1"/>
    </w:pPr>
    <w:rPr>
      <w:b/>
    </w:rPr>
  </w:style>
  <w:style w:type="paragraph" w:styleId="Heading3">
    <w:name w:val="heading 3"/>
    <w:basedOn w:val="Normal"/>
    <w:next w:val="ParaNum"/>
    <w:qFormat/>
    <w:rsid w:val="0044736D"/>
    <w:pPr>
      <w:keepNext/>
      <w:numPr>
        <w:ilvl w:val="2"/>
        <w:numId w:val="3"/>
      </w:numPr>
      <w:tabs>
        <w:tab w:val="left" w:pos="2160"/>
      </w:tabs>
      <w:spacing w:after="120"/>
      <w:outlineLvl w:val="2"/>
    </w:pPr>
    <w:rPr>
      <w:b/>
    </w:rPr>
  </w:style>
  <w:style w:type="paragraph" w:styleId="Heading4">
    <w:name w:val="heading 4"/>
    <w:basedOn w:val="Normal"/>
    <w:next w:val="ParaNum"/>
    <w:qFormat/>
    <w:rsid w:val="0044736D"/>
    <w:pPr>
      <w:keepNext/>
      <w:numPr>
        <w:ilvl w:val="3"/>
        <w:numId w:val="3"/>
      </w:numPr>
      <w:tabs>
        <w:tab w:val="left" w:pos="2880"/>
      </w:tabs>
      <w:spacing w:after="120"/>
      <w:outlineLvl w:val="3"/>
    </w:pPr>
    <w:rPr>
      <w:b/>
    </w:rPr>
  </w:style>
  <w:style w:type="paragraph" w:styleId="Heading5">
    <w:name w:val="heading 5"/>
    <w:basedOn w:val="Normal"/>
    <w:next w:val="ParaNum"/>
    <w:qFormat/>
    <w:rsid w:val="0044736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4736D"/>
    <w:pPr>
      <w:numPr>
        <w:ilvl w:val="5"/>
        <w:numId w:val="3"/>
      </w:numPr>
      <w:tabs>
        <w:tab w:val="left" w:pos="4320"/>
      </w:tabs>
      <w:spacing w:after="120"/>
      <w:outlineLvl w:val="5"/>
    </w:pPr>
    <w:rPr>
      <w:b/>
    </w:rPr>
  </w:style>
  <w:style w:type="paragraph" w:styleId="Heading7">
    <w:name w:val="heading 7"/>
    <w:basedOn w:val="Normal"/>
    <w:next w:val="ParaNum"/>
    <w:qFormat/>
    <w:rsid w:val="0044736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4736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4736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73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736D"/>
  </w:style>
  <w:style w:type="paragraph" w:customStyle="1" w:styleId="ParaNum">
    <w:name w:val="ParaNum"/>
    <w:basedOn w:val="Normal"/>
    <w:link w:val="ParaNumChar"/>
    <w:rsid w:val="0044736D"/>
    <w:pPr>
      <w:numPr>
        <w:numId w:val="2"/>
      </w:numPr>
      <w:tabs>
        <w:tab w:val="clear" w:pos="1080"/>
        <w:tab w:val="num" w:pos="1440"/>
      </w:tabs>
      <w:spacing w:after="120"/>
    </w:pPr>
  </w:style>
  <w:style w:type="paragraph" w:styleId="EndnoteText">
    <w:name w:val="endnote text"/>
    <w:basedOn w:val="Normal"/>
    <w:semiHidden/>
    <w:rsid w:val="0044736D"/>
    <w:rPr>
      <w:sz w:val="20"/>
    </w:rPr>
  </w:style>
  <w:style w:type="character" w:styleId="EndnoteReference">
    <w:name w:val="endnote reference"/>
    <w:semiHidden/>
    <w:rsid w:val="0044736D"/>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44736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4736D"/>
    <w:rPr>
      <w:rFonts w:ascii="Times New Roman" w:hAnsi="Times New Roman"/>
      <w:dstrike w:val="0"/>
      <w:color w:val="auto"/>
      <w:sz w:val="20"/>
      <w:vertAlign w:val="superscript"/>
    </w:rPr>
  </w:style>
  <w:style w:type="paragraph" w:styleId="TOC1">
    <w:name w:val="toc 1"/>
    <w:basedOn w:val="Normal"/>
    <w:next w:val="Normal"/>
    <w:semiHidden/>
    <w:rsid w:val="0044736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4736D"/>
    <w:pPr>
      <w:tabs>
        <w:tab w:val="left" w:pos="720"/>
        <w:tab w:val="right" w:leader="dot" w:pos="9360"/>
      </w:tabs>
      <w:suppressAutoHyphens/>
      <w:ind w:left="720" w:right="720" w:hanging="360"/>
    </w:pPr>
    <w:rPr>
      <w:noProof/>
    </w:rPr>
  </w:style>
  <w:style w:type="paragraph" w:styleId="TOC3">
    <w:name w:val="toc 3"/>
    <w:basedOn w:val="Normal"/>
    <w:next w:val="Normal"/>
    <w:semiHidden/>
    <w:rsid w:val="0044736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4736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4736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4736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4736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4736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4736D"/>
    <w:pPr>
      <w:tabs>
        <w:tab w:val="left" w:pos="3240"/>
        <w:tab w:val="right" w:leader="dot" w:pos="9360"/>
      </w:tabs>
      <w:suppressAutoHyphens/>
      <w:ind w:left="3240" w:hanging="360"/>
    </w:pPr>
    <w:rPr>
      <w:noProof/>
    </w:rPr>
  </w:style>
  <w:style w:type="paragraph" w:styleId="TOAHeading">
    <w:name w:val="toa heading"/>
    <w:basedOn w:val="Normal"/>
    <w:next w:val="Normal"/>
    <w:rsid w:val="0044736D"/>
    <w:pPr>
      <w:tabs>
        <w:tab w:val="right" w:pos="9360"/>
      </w:tabs>
      <w:suppressAutoHyphens/>
    </w:pPr>
  </w:style>
  <w:style w:type="character" w:customStyle="1" w:styleId="EquationCaption">
    <w:name w:val="_Equation Caption"/>
    <w:rsid w:val="0044736D"/>
  </w:style>
  <w:style w:type="paragraph" w:styleId="Header">
    <w:name w:val="header"/>
    <w:basedOn w:val="Normal"/>
    <w:autoRedefine/>
    <w:rsid w:val="0044736D"/>
    <w:pPr>
      <w:tabs>
        <w:tab w:val="center" w:pos="4680"/>
        <w:tab w:val="right" w:pos="9360"/>
      </w:tabs>
    </w:pPr>
    <w:rPr>
      <w:b/>
    </w:rPr>
  </w:style>
  <w:style w:type="paragraph" w:styleId="Footer">
    <w:name w:val="footer"/>
    <w:basedOn w:val="Normal"/>
    <w:link w:val="FooterChar"/>
    <w:uiPriority w:val="99"/>
    <w:rsid w:val="0044736D"/>
    <w:pPr>
      <w:tabs>
        <w:tab w:val="center" w:pos="4320"/>
        <w:tab w:val="right" w:pos="8640"/>
      </w:tabs>
    </w:pPr>
  </w:style>
  <w:style w:type="character" w:styleId="PageNumber">
    <w:name w:val="page number"/>
    <w:basedOn w:val="DefaultParagraphFont"/>
    <w:rsid w:val="0044736D"/>
  </w:style>
  <w:style w:type="paragraph" w:styleId="BlockText">
    <w:name w:val="Block Text"/>
    <w:basedOn w:val="Normal"/>
    <w:rsid w:val="0044736D"/>
    <w:pPr>
      <w:spacing w:after="240"/>
      <w:ind w:left="1440" w:right="1440"/>
    </w:pPr>
  </w:style>
  <w:style w:type="paragraph" w:customStyle="1" w:styleId="Paratitle">
    <w:name w:val="Para title"/>
    <w:basedOn w:val="Normal"/>
    <w:rsid w:val="0044736D"/>
    <w:pPr>
      <w:tabs>
        <w:tab w:val="center" w:pos="9270"/>
      </w:tabs>
      <w:spacing w:after="240"/>
    </w:pPr>
    <w:rPr>
      <w:spacing w:val="-2"/>
    </w:rPr>
  </w:style>
  <w:style w:type="paragraph" w:customStyle="1" w:styleId="Bullet">
    <w:name w:val="Bullet"/>
    <w:basedOn w:val="Normal"/>
    <w:rsid w:val="0044736D"/>
    <w:pPr>
      <w:tabs>
        <w:tab w:val="left" w:pos="2160"/>
      </w:tabs>
      <w:spacing w:after="220"/>
      <w:ind w:left="2160" w:hanging="720"/>
    </w:pPr>
  </w:style>
  <w:style w:type="paragraph" w:customStyle="1" w:styleId="TableFormat">
    <w:name w:val="TableFormat"/>
    <w:basedOn w:val="Bullet"/>
    <w:rsid w:val="0044736D"/>
    <w:pPr>
      <w:tabs>
        <w:tab w:val="clear" w:pos="2160"/>
        <w:tab w:val="left" w:pos="5040"/>
      </w:tabs>
      <w:ind w:left="5040" w:hanging="3600"/>
    </w:pPr>
  </w:style>
  <w:style w:type="paragraph" w:customStyle="1" w:styleId="TOCTitle">
    <w:name w:val="TOC Title"/>
    <w:basedOn w:val="Normal"/>
    <w:rsid w:val="0044736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736D"/>
    <w:pPr>
      <w:jc w:val="center"/>
    </w:pPr>
    <w:rPr>
      <w:rFonts w:ascii="Times New Roman Bold" w:hAnsi="Times New Roman Bold"/>
      <w:b/>
      <w:bCs/>
      <w:caps/>
      <w:szCs w:val="22"/>
    </w:rPr>
  </w:style>
  <w:style w:type="character" w:styleId="Hyperlink">
    <w:name w:val="Hyperlink"/>
    <w:rsid w:val="0044736D"/>
    <w:rPr>
      <w:color w:val="0000FF"/>
      <w:u w:val="single"/>
    </w:rPr>
  </w:style>
  <w:style w:type="character" w:customStyle="1" w:styleId="FooterChar">
    <w:name w:val="Footer Char"/>
    <w:link w:val="Footer"/>
    <w:uiPriority w:val="99"/>
    <w:rsid w:val="0044736D"/>
    <w:rPr>
      <w:snapToGrid w:val="0"/>
      <w:kern w:val="28"/>
      <w:sz w:val="22"/>
    </w:rPr>
  </w:style>
  <w:style w:type="character" w:customStyle="1" w:styleId="ParaNumChar">
    <w:name w:val="ParaNum Char"/>
    <w:link w:val="ParaNum"/>
    <w:rsid w:val="004742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A35A37"/>
  </w:style>
  <w:style w:type="character" w:customStyle="1" w:styleId="documentbody5">
    <w:name w:val="documentbody5"/>
    <w:rsid w:val="00920489"/>
    <w:rPr>
      <w:rFonts w:ascii="Verdana" w:hAnsi="Verdana" w:hint="default"/>
      <w:sz w:val="19"/>
      <w:szCs w:val="19"/>
    </w:rPr>
  </w:style>
  <w:style w:type="paragraph" w:styleId="Revision">
    <w:name w:val="Revision"/>
    <w:hidden/>
    <w:uiPriority w:val="99"/>
    <w:semiHidden/>
    <w:rsid w:val="00AC51C7"/>
    <w:rPr>
      <w:snapToGrid w:val="0"/>
      <w:kern w:val="28"/>
      <w:sz w:val="22"/>
    </w:rPr>
  </w:style>
  <w:style w:type="character" w:styleId="CommentReference">
    <w:name w:val="annotation reference"/>
    <w:rsid w:val="00C61D17"/>
    <w:rPr>
      <w:sz w:val="16"/>
      <w:szCs w:val="16"/>
    </w:rPr>
  </w:style>
  <w:style w:type="paragraph" w:styleId="CommentText">
    <w:name w:val="annotation text"/>
    <w:basedOn w:val="Normal"/>
    <w:link w:val="CommentTextChar"/>
    <w:rsid w:val="00C61D17"/>
    <w:rPr>
      <w:sz w:val="20"/>
    </w:rPr>
  </w:style>
  <w:style w:type="character" w:customStyle="1" w:styleId="CommentTextChar">
    <w:name w:val="Comment Text Char"/>
    <w:link w:val="CommentText"/>
    <w:rsid w:val="00C61D17"/>
    <w:rPr>
      <w:snapToGrid w:val="0"/>
      <w:kern w:val="28"/>
    </w:rPr>
  </w:style>
  <w:style w:type="paragraph" w:styleId="CommentSubject">
    <w:name w:val="annotation subject"/>
    <w:basedOn w:val="CommentText"/>
    <w:next w:val="CommentText"/>
    <w:link w:val="CommentSubjectChar"/>
    <w:rsid w:val="00C61D17"/>
    <w:rPr>
      <w:b/>
      <w:bCs/>
    </w:rPr>
  </w:style>
  <w:style w:type="character" w:customStyle="1" w:styleId="CommentSubjectChar">
    <w:name w:val="Comment Subject Char"/>
    <w:link w:val="CommentSubject"/>
    <w:rsid w:val="00C61D17"/>
    <w:rPr>
      <w:b/>
      <w:bCs/>
      <w:snapToGrid w:val="0"/>
      <w:kern w:val="28"/>
    </w:rPr>
  </w:style>
  <w:style w:type="paragraph" w:styleId="ListParagraph">
    <w:name w:val="List Paragraph"/>
    <w:basedOn w:val="Normal"/>
    <w:uiPriority w:val="34"/>
    <w:qFormat/>
    <w:rsid w:val="00635DDC"/>
    <w:pPr>
      <w:ind w:left="720"/>
      <w:contextualSpacing/>
    </w:pPr>
  </w:style>
  <w:style w:type="character" w:customStyle="1" w:styleId="markedcontent">
    <w:name w:val="markedcontent"/>
    <w:basedOn w:val="DefaultParagraphFont"/>
    <w:rsid w:val="00607DF7"/>
  </w:style>
  <w:style w:type="character" w:customStyle="1" w:styleId="highlight">
    <w:name w:val="highlight"/>
    <w:basedOn w:val="DefaultParagraphFont"/>
    <w:rsid w:val="00607DF7"/>
  </w:style>
  <w:style w:type="character" w:styleId="UnresolvedMention">
    <w:name w:val="Unresolved Mention"/>
    <w:basedOn w:val="DefaultParagraphFont"/>
    <w:rsid w:val="00CC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legal@box733.com" TargetMode="External" /><Relationship Id="rId11" Type="http://schemas.openxmlformats.org/officeDocument/2006/relationships/hyperlink" Target="mailto:aaron@s-plaw.co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Shaun.Maher@fcc.gov" TargetMode="External" /><Relationship Id="rId2" Type="http://schemas.openxmlformats.org/officeDocument/2006/relationships/hyperlink" Target="mailto:Mark.Colombo@fcc.gov" TargetMode="External" /><Relationship Id="rId3" Type="http://schemas.openxmlformats.org/officeDocument/2006/relationships/hyperlink" Target="mailto:ARINQUIRIES@fcc.gov" TargetMode="External" /><Relationship Id="rId4"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