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515FF" w:rsidRPr="008172A5" w:rsidP="005515FF" w14:paraId="06FEEF54" w14:textId="4520A2D0">
      <w:pPr>
        <w:jc w:val="right"/>
        <w:rPr>
          <w:b/>
          <w:snapToGrid/>
          <w:szCs w:val="22"/>
        </w:rPr>
      </w:pPr>
      <w:r w:rsidRPr="008172A5">
        <w:rPr>
          <w:b/>
          <w:szCs w:val="22"/>
        </w:rPr>
        <w:t>DA 2</w:t>
      </w:r>
      <w:r w:rsidRPr="008172A5" w:rsidR="001F1386">
        <w:rPr>
          <w:b/>
          <w:szCs w:val="22"/>
        </w:rPr>
        <w:t>4</w:t>
      </w:r>
      <w:r w:rsidRPr="008172A5" w:rsidR="008172A5">
        <w:rPr>
          <w:b/>
          <w:szCs w:val="22"/>
        </w:rPr>
        <w:t>-256</w:t>
      </w:r>
    </w:p>
    <w:p w:rsidR="005515FF" w:rsidRPr="005D6879" w:rsidP="005515FF" w14:paraId="7D302A8D" w14:textId="4B69B0AC">
      <w:pPr>
        <w:spacing w:before="60"/>
        <w:jc w:val="right"/>
        <w:rPr>
          <w:b/>
          <w:szCs w:val="22"/>
        </w:rPr>
      </w:pPr>
      <w:r>
        <w:rPr>
          <w:b/>
          <w:szCs w:val="22"/>
        </w:rPr>
        <w:t>March 15,</w:t>
      </w:r>
      <w:r w:rsidRPr="005D6879">
        <w:rPr>
          <w:b/>
          <w:szCs w:val="22"/>
        </w:rPr>
        <w:t xml:space="preserve"> 202</w:t>
      </w:r>
      <w:r w:rsidR="001F1386">
        <w:rPr>
          <w:b/>
          <w:szCs w:val="22"/>
        </w:rPr>
        <w:t>4</w:t>
      </w:r>
    </w:p>
    <w:p w:rsidR="005515FF" w:rsidRPr="005D6879" w:rsidP="005515FF" w14:paraId="3BDD568A" w14:textId="77777777">
      <w:pPr>
        <w:spacing w:before="60"/>
        <w:jc w:val="right"/>
        <w:rPr>
          <w:b/>
          <w:szCs w:val="22"/>
        </w:rPr>
      </w:pPr>
    </w:p>
    <w:p w:rsidR="00D07879" w:rsidP="005515FF" w14:paraId="7AC570EE" w14:textId="70EC15C1">
      <w:pPr>
        <w:jc w:val="center"/>
        <w:outlineLvl w:val="0"/>
        <w:rPr>
          <w:b/>
          <w:szCs w:val="22"/>
        </w:rPr>
      </w:pPr>
      <w:bookmarkStart w:id="0" w:name="TOChere"/>
      <w:r w:rsidRPr="005D6879">
        <w:rPr>
          <w:b/>
          <w:szCs w:val="22"/>
        </w:rPr>
        <w:t xml:space="preserve">MEDIA BUREAU </w:t>
      </w:r>
      <w:r w:rsidR="005D6879">
        <w:rPr>
          <w:b/>
          <w:szCs w:val="22"/>
        </w:rPr>
        <w:t xml:space="preserve">IDENTIFIES GROUPS OF MUTUALLY EXCLUSIVE APPLICATIONS SUBMITTED IN THE </w:t>
      </w:r>
      <w:r w:rsidR="001F1386">
        <w:rPr>
          <w:b/>
          <w:szCs w:val="22"/>
        </w:rPr>
        <w:t>DECEMBER</w:t>
      </w:r>
      <w:r w:rsidR="005D6879">
        <w:rPr>
          <w:b/>
          <w:szCs w:val="22"/>
        </w:rPr>
        <w:t xml:space="preserve"> 202</w:t>
      </w:r>
      <w:r w:rsidR="001F1386">
        <w:rPr>
          <w:b/>
          <w:szCs w:val="22"/>
        </w:rPr>
        <w:t>3</w:t>
      </w:r>
      <w:r w:rsidR="005D6879">
        <w:rPr>
          <w:b/>
          <w:szCs w:val="22"/>
        </w:rPr>
        <w:t xml:space="preserve">, </w:t>
      </w:r>
      <w:r w:rsidR="0077401A">
        <w:rPr>
          <w:b/>
          <w:szCs w:val="22"/>
        </w:rPr>
        <w:t xml:space="preserve">LPFM </w:t>
      </w:r>
      <w:r w:rsidR="005D6879">
        <w:rPr>
          <w:b/>
          <w:szCs w:val="22"/>
        </w:rPr>
        <w:t>FILING WINDOW</w:t>
      </w:r>
    </w:p>
    <w:p w:rsidR="00D07879" w:rsidP="005515FF" w14:paraId="6C8BABAC" w14:textId="77777777">
      <w:pPr>
        <w:jc w:val="center"/>
        <w:outlineLvl w:val="0"/>
        <w:rPr>
          <w:b/>
          <w:szCs w:val="22"/>
        </w:rPr>
      </w:pPr>
    </w:p>
    <w:p w:rsidR="005515FF" w:rsidRPr="005D6879" w:rsidP="005515FF" w14:paraId="354DB497" w14:textId="038A5280">
      <w:pPr>
        <w:jc w:val="center"/>
        <w:outlineLvl w:val="0"/>
        <w:rPr>
          <w:b/>
          <w:szCs w:val="22"/>
        </w:rPr>
      </w:pPr>
      <w:r>
        <w:rPr>
          <w:b/>
          <w:szCs w:val="22"/>
        </w:rPr>
        <w:t xml:space="preserve">OPENS WINDOW TO ACCEPT SETTLEMENTS AND TECHNICAL AMENDMENTS </w:t>
      </w:r>
    </w:p>
    <w:p w:rsidR="0091196C" w:rsidRPr="00B165F5" w:rsidP="001F1386" w14:paraId="16559083" w14:textId="239FC053">
      <w:pPr>
        <w:outlineLvl w:val="0"/>
        <w:rPr>
          <w:bCs/>
          <w:szCs w:val="22"/>
        </w:rPr>
      </w:pPr>
    </w:p>
    <w:p w:rsidR="005D6879" w:rsidP="0091196C" w14:paraId="470160B4" w14:textId="4D7ED8F2">
      <w:pPr>
        <w:jc w:val="center"/>
        <w:outlineLvl w:val="0"/>
        <w:rPr>
          <w:b/>
          <w:szCs w:val="22"/>
        </w:rPr>
      </w:pPr>
      <w:r w:rsidRPr="005D6879">
        <w:rPr>
          <w:b/>
          <w:szCs w:val="22"/>
        </w:rPr>
        <w:t xml:space="preserve"> </w:t>
      </w:r>
    </w:p>
    <w:p w:rsidR="005C5237" w:rsidRPr="009F5DEB" w:rsidP="009F5DEB" w14:paraId="0D77F3C4" w14:textId="35CE2122">
      <w:pPr>
        <w:widowControl/>
        <w:autoSpaceDE w:val="0"/>
        <w:autoSpaceDN w:val="0"/>
        <w:adjustRightInd w:val="0"/>
        <w:ind w:firstLine="720"/>
        <w:rPr>
          <w:snapToGrid/>
          <w:kern w:val="0"/>
          <w:szCs w:val="22"/>
        </w:rPr>
      </w:pPr>
      <w:r w:rsidRPr="00330376">
        <w:rPr>
          <w:snapToGrid/>
          <w:kern w:val="0"/>
          <w:szCs w:val="22"/>
        </w:rPr>
        <w:t>By this Public Notice, the Media Bureau (Bureau) identifies by group all of the mutually exclusive</w:t>
      </w:r>
      <w:r>
        <w:rPr>
          <w:snapToGrid/>
          <w:kern w:val="0"/>
          <w:szCs w:val="22"/>
        </w:rPr>
        <w:t xml:space="preserve"> (MX) applications </w:t>
      </w:r>
      <w:r w:rsidR="007C1CD6">
        <w:rPr>
          <w:snapToGrid/>
          <w:kern w:val="0"/>
          <w:szCs w:val="22"/>
        </w:rPr>
        <w:t>submitted</w:t>
      </w:r>
      <w:r>
        <w:rPr>
          <w:snapToGrid/>
          <w:kern w:val="0"/>
          <w:szCs w:val="22"/>
        </w:rPr>
        <w:t xml:space="preserve"> in the </w:t>
      </w:r>
      <w:r w:rsidR="007C1CD6">
        <w:rPr>
          <w:snapToGrid/>
          <w:kern w:val="0"/>
          <w:szCs w:val="22"/>
        </w:rPr>
        <w:t>December 2023,</w:t>
      </w:r>
      <w:r>
        <w:rPr>
          <w:snapToGrid/>
          <w:kern w:val="0"/>
          <w:szCs w:val="22"/>
        </w:rPr>
        <w:t xml:space="preserve"> </w:t>
      </w:r>
      <w:r w:rsidR="007C1CD6">
        <w:rPr>
          <w:snapToGrid/>
          <w:kern w:val="0"/>
          <w:szCs w:val="22"/>
        </w:rPr>
        <w:t xml:space="preserve">filing window for </w:t>
      </w:r>
      <w:r w:rsidR="007C1CD6">
        <w:rPr>
          <w:szCs w:val="22"/>
        </w:rPr>
        <w:t xml:space="preserve">Form 2100, Schedule 318 (Schedule 318) applications for </w:t>
      </w:r>
      <w:r w:rsidRPr="003060C8" w:rsidR="007C1CD6">
        <w:rPr>
          <w:szCs w:val="22"/>
        </w:rPr>
        <w:t>Low Power FM (LPFM) new station construction permits</w:t>
      </w:r>
      <w:r w:rsidR="005A2936">
        <w:rPr>
          <w:szCs w:val="22"/>
        </w:rPr>
        <w:t xml:space="preserve"> (LPFM Applications)</w:t>
      </w:r>
      <w:r w:rsidR="007C1CD6">
        <w:rPr>
          <w:szCs w:val="22"/>
        </w:rPr>
        <w:t>.</w:t>
      </w:r>
      <w:r>
        <w:rPr>
          <w:rStyle w:val="FootnoteReference"/>
          <w:szCs w:val="22"/>
        </w:rPr>
        <w:footnoteReference w:id="3"/>
      </w:r>
      <w:r>
        <w:rPr>
          <w:szCs w:val="22"/>
        </w:rPr>
        <w:t xml:space="preserve">  </w:t>
      </w:r>
      <w:r>
        <w:rPr>
          <w:snapToGrid/>
          <w:color w:val="2E2E2E"/>
          <w:kern w:val="0"/>
          <w:szCs w:val="22"/>
        </w:rPr>
        <w:t xml:space="preserve">By this Public Notice, the Bureau also announces a 60-day period beginning with the release of this Public Notice and </w:t>
      </w:r>
      <w:r w:rsidRPr="008172A5">
        <w:rPr>
          <w:snapToGrid/>
          <w:color w:val="2E2E2E"/>
          <w:kern w:val="0"/>
          <w:szCs w:val="22"/>
        </w:rPr>
        <w:t xml:space="preserve">ending </w:t>
      </w:r>
      <w:r w:rsidRPr="008172A5" w:rsidR="008172A5">
        <w:rPr>
          <w:snapToGrid/>
          <w:color w:val="2E2E2E"/>
          <w:kern w:val="0"/>
          <w:szCs w:val="22"/>
        </w:rPr>
        <w:t>May 14,</w:t>
      </w:r>
      <w:r w:rsidRPr="008172A5">
        <w:rPr>
          <w:snapToGrid/>
          <w:color w:val="2E2E2E"/>
          <w:kern w:val="0"/>
          <w:szCs w:val="22"/>
        </w:rPr>
        <w:t xml:space="preserve"> 2024, for </w:t>
      </w:r>
      <w:r w:rsidRPr="008172A5">
        <w:rPr>
          <w:szCs w:val="22"/>
        </w:rPr>
        <w:t>MX applicants</w:t>
      </w:r>
      <w:r w:rsidRPr="005D6879">
        <w:rPr>
          <w:szCs w:val="22"/>
        </w:rPr>
        <w:t xml:space="preserve"> to enter into and file settlement agreements and</w:t>
      </w:r>
      <w:r>
        <w:rPr>
          <w:szCs w:val="22"/>
        </w:rPr>
        <w:t>/or</w:t>
      </w:r>
      <w:r w:rsidRPr="005D6879">
        <w:rPr>
          <w:szCs w:val="22"/>
        </w:rPr>
        <w:t xml:space="preserve"> to submit technical amendments to </w:t>
      </w:r>
      <w:r>
        <w:rPr>
          <w:szCs w:val="22"/>
        </w:rPr>
        <w:t xml:space="preserve">resolve conflicts and </w:t>
      </w:r>
      <w:r w:rsidRPr="005D6879">
        <w:rPr>
          <w:szCs w:val="22"/>
        </w:rPr>
        <w:t xml:space="preserve">expedite the grant of applications filed in the recent </w:t>
      </w:r>
      <w:r>
        <w:rPr>
          <w:szCs w:val="22"/>
        </w:rPr>
        <w:t>LPFM</w:t>
      </w:r>
      <w:r w:rsidRPr="005D6879">
        <w:rPr>
          <w:szCs w:val="22"/>
        </w:rPr>
        <w:t xml:space="preserve"> window</w:t>
      </w:r>
      <w:r>
        <w:rPr>
          <w:szCs w:val="22"/>
        </w:rPr>
        <w:t>.</w:t>
      </w:r>
      <w:r w:rsidR="00AB7CAD">
        <w:rPr>
          <w:szCs w:val="22"/>
        </w:rPr>
        <w:t xml:space="preserve">  </w:t>
      </w:r>
    </w:p>
    <w:p w:rsidR="005405BD" w:rsidP="007C1CD6" w14:paraId="500C0AEC" w14:textId="77777777">
      <w:pPr>
        <w:widowControl/>
        <w:autoSpaceDE w:val="0"/>
        <w:autoSpaceDN w:val="0"/>
        <w:adjustRightInd w:val="0"/>
        <w:rPr>
          <w:bCs/>
          <w:szCs w:val="22"/>
        </w:rPr>
      </w:pPr>
    </w:p>
    <w:p w:rsidR="00364F71" w:rsidP="00364F71" w14:paraId="29ADD1F2" w14:textId="51592F9A">
      <w:pPr>
        <w:widowControl/>
        <w:autoSpaceDE w:val="0"/>
        <w:autoSpaceDN w:val="0"/>
        <w:adjustRightInd w:val="0"/>
        <w:ind w:firstLine="720"/>
        <w:rPr>
          <w:snapToGrid/>
          <w:color w:val="2E2E2E"/>
          <w:kern w:val="0"/>
          <w:szCs w:val="22"/>
        </w:rPr>
      </w:pPr>
      <w:r>
        <w:rPr>
          <w:b/>
          <w:szCs w:val="22"/>
        </w:rPr>
        <w:t>MX Groups.</w:t>
      </w:r>
      <w:r>
        <w:rPr>
          <w:b/>
          <w:szCs w:val="22"/>
        </w:rPr>
        <w:t xml:space="preserve">  </w:t>
      </w:r>
      <w:r>
        <w:rPr>
          <w:szCs w:val="22"/>
        </w:rPr>
        <w:t>When the distance between two window applications does not meet the minimum distance separation requirements specified in section 73.807 of the Commission’s rules,</w:t>
      </w:r>
      <w:r>
        <w:rPr>
          <w:rStyle w:val="FootnoteReference"/>
          <w:szCs w:val="22"/>
        </w:rPr>
        <w:footnoteReference w:id="4"/>
      </w:r>
      <w:r>
        <w:rPr>
          <w:szCs w:val="22"/>
        </w:rPr>
        <w:t xml:space="preserve"> the applications are treated as mutually exclusive (MX).  An MX group consists of all applications which are MX to at least one other application in the group.  </w:t>
      </w:r>
      <w:r>
        <w:rPr>
          <w:bCs/>
          <w:szCs w:val="22"/>
        </w:rPr>
        <w:t xml:space="preserve">The Bureau has identified </w:t>
      </w:r>
      <w:r w:rsidRPr="00A62A23" w:rsidR="00E50C68">
        <w:rPr>
          <w:bCs/>
          <w:szCs w:val="22"/>
        </w:rPr>
        <w:t>109</w:t>
      </w:r>
      <w:r w:rsidR="00E50C68">
        <w:rPr>
          <w:bCs/>
          <w:szCs w:val="22"/>
        </w:rPr>
        <w:t xml:space="preserve"> </w:t>
      </w:r>
      <w:r>
        <w:rPr>
          <w:bCs/>
          <w:szCs w:val="22"/>
        </w:rPr>
        <w:t xml:space="preserve">MX groups, comprising </w:t>
      </w:r>
      <w:r w:rsidRPr="00A62A23" w:rsidR="00E50C68">
        <w:rPr>
          <w:bCs/>
          <w:szCs w:val="22"/>
        </w:rPr>
        <w:t>264</w:t>
      </w:r>
      <w:r w:rsidR="00E50C68">
        <w:rPr>
          <w:bCs/>
          <w:szCs w:val="22"/>
        </w:rPr>
        <w:t xml:space="preserve"> </w:t>
      </w:r>
      <w:r>
        <w:rPr>
          <w:bCs/>
          <w:szCs w:val="22"/>
        </w:rPr>
        <w:t>applications.</w:t>
      </w:r>
      <w:r>
        <w:rPr>
          <w:rStyle w:val="FootnoteReference"/>
          <w:bCs/>
          <w:szCs w:val="22"/>
        </w:rPr>
        <w:footnoteReference w:id="5"/>
      </w:r>
      <w:r>
        <w:rPr>
          <w:bCs/>
          <w:szCs w:val="22"/>
        </w:rPr>
        <w:t xml:space="preserve">  The MX groups, and the applications contained within each MX group, are listed in Attachment A.  If </w:t>
      </w:r>
      <w:r>
        <w:rPr>
          <w:snapToGrid/>
          <w:color w:val="2E2E2E"/>
          <w:kern w:val="0"/>
          <w:szCs w:val="22"/>
        </w:rPr>
        <w:t>a</w:t>
      </w:r>
      <w:r w:rsidRPr="00FA479F">
        <w:rPr>
          <w:snapToGrid/>
          <w:color w:val="2E2E2E"/>
          <w:kern w:val="0"/>
          <w:szCs w:val="22"/>
        </w:rPr>
        <w:t>n applicant believes any application has been erroneously included</w:t>
      </w:r>
      <w:r>
        <w:rPr>
          <w:snapToGrid/>
          <w:color w:val="2E2E2E"/>
          <w:kern w:val="0"/>
          <w:szCs w:val="22"/>
        </w:rPr>
        <w:t>,</w:t>
      </w:r>
      <w:r w:rsidRPr="00FA479F">
        <w:rPr>
          <w:snapToGrid/>
          <w:color w:val="2E2E2E"/>
          <w:kern w:val="0"/>
          <w:szCs w:val="22"/>
        </w:rPr>
        <w:t xml:space="preserve"> or excluded</w:t>
      </w:r>
      <w:r>
        <w:rPr>
          <w:snapToGrid/>
          <w:color w:val="2E2E2E"/>
          <w:kern w:val="0"/>
          <w:szCs w:val="22"/>
        </w:rPr>
        <w:t>,</w:t>
      </w:r>
      <w:r w:rsidRPr="00FA479F">
        <w:rPr>
          <w:snapToGrid/>
          <w:color w:val="2E2E2E"/>
          <w:kern w:val="0"/>
          <w:szCs w:val="22"/>
        </w:rPr>
        <w:t xml:space="preserve"> from one of the</w:t>
      </w:r>
      <w:r>
        <w:rPr>
          <w:snapToGrid/>
          <w:color w:val="2E2E2E"/>
          <w:kern w:val="0"/>
          <w:szCs w:val="22"/>
        </w:rPr>
        <w:t xml:space="preserve"> MX</w:t>
      </w:r>
      <w:r w:rsidRPr="00FA479F">
        <w:rPr>
          <w:snapToGrid/>
          <w:color w:val="2E2E2E"/>
          <w:kern w:val="0"/>
          <w:szCs w:val="22"/>
        </w:rPr>
        <w:t xml:space="preserve"> groups listed in Attachment A</w:t>
      </w:r>
      <w:r>
        <w:rPr>
          <w:snapToGrid/>
          <w:color w:val="2E2E2E"/>
          <w:kern w:val="0"/>
          <w:szCs w:val="22"/>
        </w:rPr>
        <w:t>, it</w:t>
      </w:r>
      <w:r w:rsidRPr="00FA479F">
        <w:rPr>
          <w:snapToGrid/>
          <w:color w:val="2E2E2E"/>
          <w:kern w:val="0"/>
          <w:szCs w:val="22"/>
        </w:rPr>
        <w:t xml:space="preserve"> should </w:t>
      </w:r>
      <w:r>
        <w:rPr>
          <w:snapToGrid/>
          <w:color w:val="2E2E2E"/>
          <w:kern w:val="0"/>
          <w:szCs w:val="22"/>
        </w:rPr>
        <w:t>notify</w:t>
      </w:r>
      <w:r w:rsidRPr="00FA479F">
        <w:rPr>
          <w:snapToGrid/>
          <w:color w:val="2E2E2E"/>
          <w:kern w:val="0"/>
          <w:szCs w:val="22"/>
        </w:rPr>
        <w:t xml:space="preserve"> the Audio Division </w:t>
      </w:r>
      <w:r>
        <w:rPr>
          <w:snapToGrid/>
          <w:color w:val="2E2E2E"/>
          <w:kern w:val="0"/>
          <w:szCs w:val="22"/>
        </w:rPr>
        <w:t xml:space="preserve">(Division) as soon as possible, and </w:t>
      </w:r>
      <w:r w:rsidRPr="00FA479F">
        <w:rPr>
          <w:snapToGrid/>
          <w:color w:val="2E2E2E"/>
          <w:kern w:val="0"/>
          <w:szCs w:val="22"/>
        </w:rPr>
        <w:t xml:space="preserve">within </w:t>
      </w:r>
      <w:r>
        <w:rPr>
          <w:snapToGrid/>
          <w:color w:val="2E2E2E"/>
          <w:kern w:val="0"/>
          <w:szCs w:val="22"/>
        </w:rPr>
        <w:t>10</w:t>
      </w:r>
      <w:r w:rsidRPr="00FA479F">
        <w:rPr>
          <w:snapToGrid/>
          <w:color w:val="2E2E2E"/>
          <w:kern w:val="0"/>
          <w:szCs w:val="22"/>
        </w:rPr>
        <w:t xml:space="preserve"> days.</w:t>
      </w:r>
    </w:p>
    <w:p w:rsidR="00364F71" w:rsidP="00364F71" w14:paraId="66F38CAD" w14:textId="77777777">
      <w:pPr>
        <w:widowControl/>
        <w:autoSpaceDE w:val="0"/>
        <w:autoSpaceDN w:val="0"/>
        <w:adjustRightInd w:val="0"/>
        <w:ind w:firstLine="720"/>
        <w:rPr>
          <w:snapToGrid/>
          <w:color w:val="2E2E2E"/>
          <w:kern w:val="0"/>
          <w:szCs w:val="22"/>
        </w:rPr>
      </w:pPr>
    </w:p>
    <w:p w:rsidR="003E1F37" w:rsidRPr="00C013A4" w:rsidP="00C013A4" w14:paraId="55047068" w14:textId="24C961D0">
      <w:pPr>
        <w:widowControl/>
        <w:autoSpaceDE w:val="0"/>
        <w:autoSpaceDN w:val="0"/>
        <w:adjustRightInd w:val="0"/>
        <w:ind w:firstLine="720"/>
        <w:rPr>
          <w:rFonts w:ascii="TimesNewRoman" w:hAnsi="TimesNewRoman" w:cs="TimesNewRoman"/>
          <w:snapToGrid/>
          <w:kern w:val="0"/>
          <w:szCs w:val="22"/>
        </w:rPr>
      </w:pPr>
      <w:r>
        <w:rPr>
          <w:rFonts w:ascii="TimesNewRoman" w:hAnsi="TimesNewRoman" w:cs="TimesNewRoman"/>
          <w:snapToGrid/>
          <w:kern w:val="0"/>
          <w:szCs w:val="22"/>
        </w:rPr>
        <w:t>Although t</w:t>
      </w:r>
      <w:r w:rsidR="00364F71">
        <w:rPr>
          <w:rFonts w:ascii="TimesNewRoman" w:hAnsi="TimesNewRoman" w:cs="TimesNewRoman"/>
          <w:snapToGrid/>
          <w:kern w:val="0"/>
          <w:szCs w:val="22"/>
        </w:rPr>
        <w:t xml:space="preserve">he Bureau has </w:t>
      </w:r>
      <w:r>
        <w:rPr>
          <w:rFonts w:ascii="TimesNewRoman" w:hAnsi="TimesNewRoman" w:cs="TimesNewRoman"/>
          <w:snapToGrid/>
          <w:kern w:val="0"/>
          <w:szCs w:val="22"/>
        </w:rPr>
        <w:t xml:space="preserve">generally reviewed the applications listed in Attachment A for </w:t>
      </w:r>
      <w:r w:rsidR="00D734C2">
        <w:rPr>
          <w:rFonts w:ascii="TimesNewRoman" w:hAnsi="TimesNewRoman" w:cs="TimesNewRoman"/>
          <w:snapToGrid/>
          <w:kern w:val="0"/>
          <w:szCs w:val="22"/>
        </w:rPr>
        <w:t xml:space="preserve">technical </w:t>
      </w:r>
      <w:r>
        <w:rPr>
          <w:rFonts w:ascii="TimesNewRoman" w:hAnsi="TimesNewRoman" w:cs="TimesNewRoman"/>
          <w:snapToGrid/>
          <w:kern w:val="0"/>
          <w:szCs w:val="22"/>
        </w:rPr>
        <w:t>acceptability, the</w:t>
      </w:r>
      <w:r w:rsidR="00364F71">
        <w:rPr>
          <w:rFonts w:ascii="TimesNewRoman" w:hAnsi="TimesNewRoman" w:cs="TimesNewRoman"/>
          <w:snapToGrid/>
          <w:kern w:val="0"/>
          <w:szCs w:val="22"/>
        </w:rPr>
        <w:t xml:space="preserve"> Bureau could</w:t>
      </w:r>
      <w:r>
        <w:rPr>
          <w:rFonts w:ascii="TimesNewRoman" w:hAnsi="TimesNewRoman" w:cs="TimesNewRoman"/>
          <w:snapToGrid/>
          <w:kern w:val="0"/>
          <w:szCs w:val="22"/>
        </w:rPr>
        <w:t>, upon further review,</w:t>
      </w:r>
      <w:r w:rsidR="00BD3EE1">
        <w:rPr>
          <w:rFonts w:ascii="TimesNewRoman" w:hAnsi="TimesNewRoman" w:cs="TimesNewRoman"/>
          <w:snapToGrid/>
          <w:kern w:val="0"/>
          <w:szCs w:val="22"/>
        </w:rPr>
        <w:t xml:space="preserve"> </w:t>
      </w:r>
      <w:r w:rsidR="00364F71">
        <w:rPr>
          <w:rFonts w:ascii="TimesNewRoman" w:hAnsi="TimesNewRoman" w:cs="TimesNewRoman"/>
          <w:snapToGrid/>
          <w:kern w:val="0"/>
          <w:szCs w:val="22"/>
        </w:rPr>
        <w:t xml:space="preserve">determine that one or more applications </w:t>
      </w:r>
      <w:r w:rsidR="005A2936">
        <w:rPr>
          <w:rFonts w:ascii="TimesNewRoman" w:hAnsi="TimesNewRoman" w:cs="TimesNewRoman"/>
          <w:snapToGrid/>
          <w:kern w:val="0"/>
          <w:szCs w:val="22"/>
        </w:rPr>
        <w:t xml:space="preserve">within </w:t>
      </w:r>
      <w:r w:rsidR="00364F71">
        <w:rPr>
          <w:rFonts w:ascii="TimesNewRoman" w:hAnsi="TimesNewRoman" w:cs="TimesNewRoman"/>
          <w:snapToGrid/>
          <w:kern w:val="0"/>
          <w:szCs w:val="22"/>
        </w:rPr>
        <w:t xml:space="preserve">an MX group cannot be accepted for filing or granted. </w:t>
      </w:r>
      <w:r w:rsidR="00BD3EE1">
        <w:rPr>
          <w:rFonts w:ascii="TimesNewRoman" w:hAnsi="TimesNewRoman" w:cs="TimesNewRoman"/>
          <w:snapToGrid/>
          <w:kern w:val="0"/>
          <w:szCs w:val="22"/>
        </w:rPr>
        <w:t xml:space="preserve"> </w:t>
      </w:r>
      <w:r w:rsidR="00364F71">
        <w:rPr>
          <w:rFonts w:ascii="TimesNewRoman" w:hAnsi="TimesNewRoman" w:cs="TimesNewRoman"/>
          <w:snapToGrid/>
          <w:kern w:val="0"/>
          <w:szCs w:val="22"/>
        </w:rPr>
        <w:t>The applications identified in the MX groups</w:t>
      </w:r>
      <w:r>
        <w:rPr>
          <w:rFonts w:ascii="TimesNewRoman" w:hAnsi="TimesNewRoman" w:cs="TimesNewRoman"/>
          <w:snapToGrid/>
          <w:kern w:val="0"/>
          <w:szCs w:val="22"/>
        </w:rPr>
        <w:t xml:space="preserve">, </w:t>
      </w:r>
      <w:r>
        <w:rPr>
          <w:rFonts w:ascii="TimesNewRoman" w:hAnsi="TimesNewRoman" w:cs="TimesNewRoman"/>
          <w:snapToGrid/>
          <w:kern w:val="0"/>
          <w:szCs w:val="22"/>
        </w:rPr>
        <w:t>therefore,</w:t>
      </w:r>
      <w:r w:rsidR="00364F71">
        <w:rPr>
          <w:rFonts w:ascii="TimesNewRoman" w:hAnsi="TimesNewRoman" w:cs="TimesNewRoman"/>
          <w:snapToGrid/>
          <w:kern w:val="0"/>
          <w:szCs w:val="22"/>
        </w:rPr>
        <w:t xml:space="preserve"> may include applications </w:t>
      </w:r>
      <w:r>
        <w:rPr>
          <w:rFonts w:ascii="TimesNewRoman" w:hAnsi="TimesNewRoman" w:cs="TimesNewRoman"/>
          <w:snapToGrid/>
          <w:kern w:val="0"/>
          <w:szCs w:val="22"/>
        </w:rPr>
        <w:t xml:space="preserve">that </w:t>
      </w:r>
      <w:r w:rsidR="00364F71">
        <w:rPr>
          <w:rFonts w:ascii="TimesNewRoman" w:hAnsi="TimesNewRoman" w:cs="TimesNewRoman"/>
          <w:snapToGrid/>
          <w:kern w:val="0"/>
          <w:szCs w:val="22"/>
        </w:rPr>
        <w:t>the Bureau at a future date determine</w:t>
      </w:r>
      <w:r>
        <w:rPr>
          <w:rFonts w:ascii="TimesNewRoman" w:hAnsi="TimesNewRoman" w:cs="TimesNewRoman"/>
          <w:snapToGrid/>
          <w:kern w:val="0"/>
          <w:szCs w:val="22"/>
        </w:rPr>
        <w:t>s</w:t>
      </w:r>
      <w:r w:rsidR="00364F71">
        <w:rPr>
          <w:rFonts w:ascii="TimesNewRoman" w:hAnsi="TimesNewRoman" w:cs="TimesNewRoman"/>
          <w:snapToGrid/>
          <w:kern w:val="0"/>
          <w:szCs w:val="22"/>
        </w:rPr>
        <w:t xml:space="preserve"> are subject to</w:t>
      </w:r>
      <w:r>
        <w:rPr>
          <w:rFonts w:ascii="TimesNewRoman" w:hAnsi="TimesNewRoman" w:cs="TimesNewRoman"/>
          <w:snapToGrid/>
          <w:kern w:val="0"/>
          <w:szCs w:val="22"/>
        </w:rPr>
        <w:t xml:space="preserve"> dismissal for legal and/or technical defects.</w:t>
      </w:r>
      <w:r>
        <w:rPr>
          <w:rStyle w:val="FootnoteReference"/>
          <w:rFonts w:cs="TimesNewRoman"/>
          <w:snapToGrid/>
          <w:kern w:val="0"/>
          <w:szCs w:val="22"/>
        </w:rPr>
        <w:footnoteReference w:id="6"/>
      </w:r>
    </w:p>
    <w:p w:rsidR="005405BD" w:rsidRPr="00364F71" w:rsidP="003E1F37" w14:paraId="50DF6F37" w14:textId="3F2441AB">
      <w:pPr>
        <w:widowControl/>
        <w:autoSpaceDE w:val="0"/>
        <w:autoSpaceDN w:val="0"/>
        <w:adjustRightInd w:val="0"/>
        <w:rPr>
          <w:b/>
          <w:szCs w:val="22"/>
        </w:rPr>
      </w:pPr>
      <w:r>
        <w:rPr>
          <w:szCs w:val="22"/>
        </w:rPr>
        <w:t xml:space="preserve">    </w:t>
      </w:r>
    </w:p>
    <w:p w:rsidR="00BF0AF0" w:rsidP="00FA479F" w14:paraId="4BAD932B" w14:textId="00B4B3F9">
      <w:pPr>
        <w:widowControl/>
        <w:autoSpaceDE w:val="0"/>
        <w:autoSpaceDN w:val="0"/>
        <w:adjustRightInd w:val="0"/>
        <w:ind w:firstLine="720"/>
        <w:rPr>
          <w:snapToGrid/>
          <w:color w:val="2E2E2E"/>
          <w:kern w:val="0"/>
          <w:szCs w:val="22"/>
        </w:rPr>
      </w:pPr>
      <w:r w:rsidRPr="0093217B">
        <w:rPr>
          <w:b/>
          <w:bCs/>
          <w:snapToGrid/>
          <w:color w:val="2E2E2E"/>
          <w:kern w:val="0"/>
          <w:szCs w:val="22"/>
        </w:rPr>
        <w:t>Dismissed MX Applications</w:t>
      </w:r>
      <w:r w:rsidRPr="0093217B">
        <w:rPr>
          <w:snapToGrid/>
          <w:color w:val="2E2E2E"/>
          <w:kern w:val="0"/>
          <w:szCs w:val="22"/>
        </w:rPr>
        <w:t>.</w:t>
      </w:r>
      <w:r>
        <w:rPr>
          <w:snapToGrid/>
          <w:color w:val="2E2E2E"/>
          <w:kern w:val="0"/>
          <w:szCs w:val="22"/>
        </w:rPr>
        <w:t xml:space="preserve">  </w:t>
      </w:r>
      <w:r w:rsidR="00286611">
        <w:rPr>
          <w:snapToGrid/>
          <w:color w:val="2E2E2E"/>
          <w:kern w:val="0"/>
          <w:szCs w:val="22"/>
        </w:rPr>
        <w:t xml:space="preserve">In </w:t>
      </w:r>
      <w:r w:rsidR="00A20598">
        <w:rPr>
          <w:snapToGrid/>
          <w:color w:val="2E2E2E"/>
          <w:kern w:val="0"/>
          <w:szCs w:val="22"/>
        </w:rPr>
        <w:t>ascertaining</w:t>
      </w:r>
      <w:r w:rsidR="00A20598">
        <w:rPr>
          <w:snapToGrid/>
          <w:color w:val="2E2E2E"/>
          <w:kern w:val="0"/>
          <w:szCs w:val="22"/>
        </w:rPr>
        <w:t xml:space="preserve"> </w:t>
      </w:r>
      <w:r w:rsidR="00286611">
        <w:rPr>
          <w:snapToGrid/>
          <w:color w:val="2E2E2E"/>
          <w:kern w:val="0"/>
          <w:szCs w:val="22"/>
        </w:rPr>
        <w:t xml:space="preserve">the MX groups, </w:t>
      </w:r>
      <w:r w:rsidR="00C013A4">
        <w:rPr>
          <w:snapToGrid/>
          <w:color w:val="2E2E2E"/>
          <w:kern w:val="0"/>
          <w:szCs w:val="22"/>
        </w:rPr>
        <w:t xml:space="preserve">and reviewing the applications for acceptability, </w:t>
      </w:r>
      <w:r w:rsidR="00286611">
        <w:rPr>
          <w:snapToGrid/>
          <w:color w:val="2E2E2E"/>
          <w:kern w:val="0"/>
          <w:szCs w:val="22"/>
        </w:rPr>
        <w:t xml:space="preserve">the Bureau </w:t>
      </w:r>
      <w:r w:rsidR="00A20598">
        <w:rPr>
          <w:snapToGrid/>
          <w:color w:val="2E2E2E"/>
          <w:kern w:val="0"/>
          <w:szCs w:val="22"/>
        </w:rPr>
        <w:t>identified</w:t>
      </w:r>
      <w:r w:rsidR="00286611">
        <w:rPr>
          <w:snapToGrid/>
          <w:color w:val="2E2E2E"/>
          <w:kern w:val="0"/>
          <w:szCs w:val="22"/>
        </w:rPr>
        <w:t xml:space="preserve"> </w:t>
      </w:r>
      <w:r w:rsidR="00A62A23">
        <w:rPr>
          <w:snapToGrid/>
          <w:color w:val="2E2E2E"/>
          <w:kern w:val="0"/>
          <w:szCs w:val="22"/>
        </w:rPr>
        <w:t>two</w:t>
      </w:r>
      <w:r w:rsidR="00EC3BC3">
        <w:rPr>
          <w:snapToGrid/>
          <w:color w:val="2E2E2E"/>
          <w:kern w:val="0"/>
          <w:szCs w:val="22"/>
        </w:rPr>
        <w:t xml:space="preserve"> </w:t>
      </w:r>
      <w:r w:rsidR="00286611">
        <w:rPr>
          <w:snapToGrid/>
          <w:color w:val="2E2E2E"/>
          <w:kern w:val="0"/>
          <w:szCs w:val="22"/>
        </w:rPr>
        <w:t>applications with</w:t>
      </w:r>
      <w:r w:rsidR="00EC3BC3">
        <w:rPr>
          <w:snapToGrid/>
          <w:color w:val="2E2E2E"/>
          <w:kern w:val="0"/>
          <w:szCs w:val="22"/>
        </w:rPr>
        <w:t xml:space="preserve"> </w:t>
      </w:r>
      <w:r w:rsidR="00286611">
        <w:rPr>
          <w:snapToGrid/>
          <w:color w:val="2E2E2E"/>
          <w:kern w:val="0"/>
          <w:szCs w:val="22"/>
        </w:rPr>
        <w:t xml:space="preserve">significant technical </w:t>
      </w:r>
      <w:r w:rsidR="0048613B">
        <w:rPr>
          <w:snapToGrid/>
          <w:color w:val="2E2E2E"/>
          <w:kern w:val="0"/>
          <w:szCs w:val="22"/>
        </w:rPr>
        <w:t>and/</w:t>
      </w:r>
      <w:r w:rsidR="00EC3BC3">
        <w:rPr>
          <w:snapToGrid/>
          <w:color w:val="2E2E2E"/>
          <w:kern w:val="0"/>
          <w:szCs w:val="22"/>
        </w:rPr>
        <w:t xml:space="preserve">or legal </w:t>
      </w:r>
      <w:r w:rsidR="00286611">
        <w:rPr>
          <w:snapToGrid/>
          <w:color w:val="2E2E2E"/>
          <w:kern w:val="0"/>
          <w:szCs w:val="22"/>
        </w:rPr>
        <w:t>defects</w:t>
      </w:r>
      <w:r w:rsidR="00EC3BC3">
        <w:rPr>
          <w:snapToGrid/>
          <w:color w:val="2E2E2E"/>
          <w:kern w:val="0"/>
          <w:szCs w:val="22"/>
        </w:rPr>
        <w:t xml:space="preserve"> and dismissed these applications.</w:t>
      </w:r>
      <w:r w:rsidR="00286611">
        <w:rPr>
          <w:snapToGrid/>
          <w:color w:val="2E2E2E"/>
          <w:kern w:val="0"/>
          <w:szCs w:val="22"/>
        </w:rPr>
        <w:t xml:space="preserve">  The</w:t>
      </w:r>
      <w:r w:rsidR="00A62A23">
        <w:rPr>
          <w:snapToGrid/>
          <w:color w:val="2E2E2E"/>
          <w:kern w:val="0"/>
          <w:szCs w:val="22"/>
        </w:rPr>
        <w:t>se</w:t>
      </w:r>
      <w:r w:rsidR="00286611">
        <w:rPr>
          <w:snapToGrid/>
          <w:color w:val="2E2E2E"/>
          <w:kern w:val="0"/>
          <w:szCs w:val="22"/>
        </w:rPr>
        <w:t xml:space="preserve"> </w:t>
      </w:r>
      <w:r w:rsidR="00234421">
        <w:rPr>
          <w:snapToGrid/>
          <w:color w:val="2E2E2E"/>
          <w:kern w:val="0"/>
          <w:szCs w:val="22"/>
        </w:rPr>
        <w:t>two</w:t>
      </w:r>
      <w:r w:rsidR="00A62A23">
        <w:rPr>
          <w:snapToGrid/>
          <w:color w:val="2E2E2E"/>
          <w:kern w:val="0"/>
          <w:szCs w:val="22"/>
        </w:rPr>
        <w:t xml:space="preserve"> </w:t>
      </w:r>
      <w:r w:rsidR="00CD05F4">
        <w:rPr>
          <w:snapToGrid/>
          <w:color w:val="2E2E2E"/>
          <w:kern w:val="0"/>
          <w:szCs w:val="22"/>
        </w:rPr>
        <w:t xml:space="preserve">MX Applications </w:t>
      </w:r>
      <w:r w:rsidR="00234421">
        <w:rPr>
          <w:snapToGrid/>
          <w:color w:val="2E2E2E"/>
          <w:kern w:val="0"/>
          <w:szCs w:val="22"/>
        </w:rPr>
        <w:t>(</w:t>
      </w:r>
      <w:r w:rsidR="00A62A23">
        <w:rPr>
          <w:snapToGrid/>
          <w:color w:val="2E2E2E"/>
          <w:kern w:val="0"/>
          <w:szCs w:val="22"/>
        </w:rPr>
        <w:t xml:space="preserve">filed by </w:t>
      </w:r>
      <w:r w:rsidR="00234421">
        <w:rPr>
          <w:snapToGrid/>
          <w:color w:val="2E2E2E"/>
          <w:kern w:val="0"/>
          <w:szCs w:val="22"/>
        </w:rPr>
        <w:t xml:space="preserve">Portsonic </w:t>
      </w:r>
      <w:r w:rsidR="009D6289">
        <w:rPr>
          <w:snapToGrid/>
          <w:color w:val="2E2E2E"/>
          <w:kern w:val="0"/>
          <w:szCs w:val="22"/>
        </w:rPr>
        <w:t>Communications, LLC</w:t>
      </w:r>
      <w:r w:rsidR="00862ADE">
        <w:rPr>
          <w:snapToGrid/>
          <w:color w:val="2E2E2E"/>
          <w:kern w:val="0"/>
          <w:szCs w:val="22"/>
        </w:rPr>
        <w:t xml:space="preserve"> </w:t>
      </w:r>
      <w:r w:rsidR="00234421">
        <w:rPr>
          <w:snapToGrid/>
          <w:color w:val="2E2E2E"/>
          <w:kern w:val="0"/>
          <w:szCs w:val="22"/>
        </w:rPr>
        <w:t>and Aire Broadcasting</w:t>
      </w:r>
      <w:r w:rsidR="009D6289">
        <w:rPr>
          <w:snapToGrid/>
          <w:color w:val="2E2E2E"/>
          <w:kern w:val="0"/>
          <w:szCs w:val="22"/>
        </w:rPr>
        <w:t xml:space="preserve"> Foundation</w:t>
      </w:r>
      <w:r w:rsidR="00234421">
        <w:rPr>
          <w:snapToGrid/>
          <w:color w:val="2E2E2E"/>
          <w:kern w:val="0"/>
          <w:szCs w:val="22"/>
        </w:rPr>
        <w:t>)</w:t>
      </w:r>
      <w:r>
        <w:rPr>
          <w:rStyle w:val="FootnoteReference"/>
          <w:snapToGrid/>
          <w:kern w:val="0"/>
          <w:szCs w:val="22"/>
        </w:rPr>
        <w:footnoteReference w:id="7"/>
      </w:r>
      <w:r w:rsidR="00286611">
        <w:rPr>
          <w:snapToGrid/>
          <w:color w:val="2E2E2E"/>
          <w:kern w:val="0"/>
          <w:szCs w:val="22"/>
        </w:rPr>
        <w:t xml:space="preserve"> </w:t>
      </w:r>
      <w:r w:rsidR="00EC3BC3">
        <w:rPr>
          <w:snapToGrid/>
          <w:color w:val="2E2E2E"/>
          <w:kern w:val="0"/>
          <w:szCs w:val="22"/>
        </w:rPr>
        <w:t>are identified</w:t>
      </w:r>
      <w:r w:rsidR="00056D60">
        <w:rPr>
          <w:snapToGrid/>
          <w:color w:val="2E2E2E"/>
          <w:kern w:val="0"/>
          <w:szCs w:val="22"/>
        </w:rPr>
        <w:t xml:space="preserve"> </w:t>
      </w:r>
      <w:r w:rsidR="000C6AA7">
        <w:rPr>
          <w:snapToGrid/>
          <w:color w:val="2E2E2E"/>
          <w:kern w:val="0"/>
          <w:szCs w:val="22"/>
        </w:rPr>
        <w:t xml:space="preserve">with an asterisk </w:t>
      </w:r>
      <w:r w:rsidR="00EC3BC3">
        <w:rPr>
          <w:snapToGrid/>
          <w:color w:val="2E2E2E"/>
          <w:kern w:val="0"/>
          <w:szCs w:val="22"/>
        </w:rPr>
        <w:t xml:space="preserve">as “DISMISSED” </w:t>
      </w:r>
      <w:r w:rsidR="00286611">
        <w:rPr>
          <w:snapToGrid/>
          <w:color w:val="2E2E2E"/>
          <w:kern w:val="0"/>
          <w:szCs w:val="22"/>
        </w:rPr>
        <w:t xml:space="preserve">in Attachment </w:t>
      </w:r>
      <w:r w:rsidR="00EC3BC3">
        <w:rPr>
          <w:snapToGrid/>
          <w:color w:val="2E2E2E"/>
          <w:kern w:val="0"/>
          <w:szCs w:val="22"/>
        </w:rPr>
        <w:t>A</w:t>
      </w:r>
      <w:r w:rsidR="00286611">
        <w:rPr>
          <w:snapToGrid/>
          <w:color w:val="2E2E2E"/>
          <w:kern w:val="0"/>
          <w:szCs w:val="22"/>
        </w:rPr>
        <w:t>.</w:t>
      </w:r>
      <w:r>
        <w:rPr>
          <w:rStyle w:val="FootnoteReference"/>
          <w:snapToGrid/>
          <w:kern w:val="0"/>
          <w:szCs w:val="22"/>
        </w:rPr>
        <w:footnoteReference w:id="8"/>
      </w:r>
      <w:r w:rsidR="00286611">
        <w:rPr>
          <w:snapToGrid/>
          <w:color w:val="2E2E2E"/>
          <w:kern w:val="0"/>
          <w:szCs w:val="22"/>
        </w:rPr>
        <w:t xml:space="preserve">  </w:t>
      </w:r>
      <w:r w:rsidR="00EC3BC3">
        <w:rPr>
          <w:snapToGrid/>
          <w:color w:val="2E2E2E"/>
          <w:kern w:val="0"/>
          <w:szCs w:val="22"/>
        </w:rPr>
        <w:t xml:space="preserve">These dismissals are </w:t>
      </w:r>
      <w:r w:rsidR="007C7BDD">
        <w:rPr>
          <w:snapToGrid/>
          <w:color w:val="2E2E2E"/>
          <w:kern w:val="0"/>
          <w:szCs w:val="22"/>
        </w:rPr>
        <w:t xml:space="preserve">still </w:t>
      </w:r>
      <w:r w:rsidR="00EC3BC3">
        <w:rPr>
          <w:snapToGrid/>
          <w:color w:val="2E2E2E"/>
          <w:kern w:val="0"/>
          <w:szCs w:val="22"/>
        </w:rPr>
        <w:t xml:space="preserve">subject to appeal and, therefore, not yet final.  </w:t>
      </w:r>
    </w:p>
    <w:p w:rsidR="00BF0AF0" w:rsidP="00FA479F" w14:paraId="09C7C4ED" w14:textId="77777777">
      <w:pPr>
        <w:widowControl/>
        <w:autoSpaceDE w:val="0"/>
        <w:autoSpaceDN w:val="0"/>
        <w:adjustRightInd w:val="0"/>
        <w:ind w:firstLine="720"/>
        <w:rPr>
          <w:snapToGrid/>
          <w:color w:val="2E2E2E"/>
          <w:kern w:val="0"/>
          <w:szCs w:val="22"/>
        </w:rPr>
      </w:pPr>
    </w:p>
    <w:p w:rsidR="005405BD" w:rsidRPr="00D67DFB" w:rsidP="00FA479F" w14:paraId="597B4222" w14:textId="39BAE897">
      <w:pPr>
        <w:widowControl/>
        <w:autoSpaceDE w:val="0"/>
        <w:autoSpaceDN w:val="0"/>
        <w:adjustRightInd w:val="0"/>
        <w:ind w:firstLine="720"/>
        <w:rPr>
          <w:snapToGrid/>
          <w:color w:val="2E2E2E"/>
          <w:kern w:val="0"/>
          <w:szCs w:val="22"/>
        </w:rPr>
      </w:pPr>
      <w:r>
        <w:rPr>
          <w:snapToGrid/>
          <w:color w:val="2E2E2E"/>
          <w:kern w:val="0"/>
          <w:szCs w:val="22"/>
        </w:rPr>
        <w:t>In general</w:t>
      </w:r>
      <w:r w:rsidR="00B10394">
        <w:rPr>
          <w:snapToGrid/>
          <w:color w:val="2E2E2E"/>
          <w:kern w:val="0"/>
          <w:szCs w:val="22"/>
        </w:rPr>
        <w:t>, a</w:t>
      </w:r>
      <w:r w:rsidR="00286611">
        <w:rPr>
          <w:snapToGrid/>
          <w:color w:val="2E2E2E"/>
          <w:kern w:val="0"/>
          <w:szCs w:val="22"/>
        </w:rPr>
        <w:t xml:space="preserve"> </w:t>
      </w:r>
      <w:r w:rsidR="00EC3BC3">
        <w:rPr>
          <w:snapToGrid/>
          <w:color w:val="2E2E2E"/>
          <w:kern w:val="0"/>
          <w:szCs w:val="22"/>
        </w:rPr>
        <w:t xml:space="preserve">dismissed </w:t>
      </w:r>
      <w:r w:rsidR="00286611">
        <w:rPr>
          <w:snapToGrid/>
          <w:color w:val="2E2E2E"/>
          <w:kern w:val="0"/>
          <w:szCs w:val="22"/>
        </w:rPr>
        <w:t>applicant</w:t>
      </w:r>
      <w:r w:rsidR="00211A61">
        <w:rPr>
          <w:snapToGrid/>
          <w:color w:val="2E2E2E"/>
          <w:kern w:val="0"/>
          <w:szCs w:val="22"/>
        </w:rPr>
        <w:t xml:space="preserve"> </w:t>
      </w:r>
      <w:r w:rsidR="00286611">
        <w:rPr>
          <w:snapToGrid/>
          <w:color w:val="2E2E2E"/>
          <w:kern w:val="0"/>
          <w:szCs w:val="22"/>
        </w:rPr>
        <w:t>ha</w:t>
      </w:r>
      <w:r w:rsidR="00E20B8E">
        <w:rPr>
          <w:snapToGrid/>
          <w:color w:val="2E2E2E"/>
          <w:kern w:val="0"/>
          <w:szCs w:val="22"/>
        </w:rPr>
        <w:t>s</w:t>
      </w:r>
      <w:r w:rsidR="00286611">
        <w:rPr>
          <w:snapToGrid/>
          <w:color w:val="2E2E2E"/>
          <w:kern w:val="0"/>
          <w:szCs w:val="22"/>
        </w:rPr>
        <w:t xml:space="preserve"> one opportunity to </w:t>
      </w:r>
      <w:r w:rsidR="00D734C2">
        <w:rPr>
          <w:snapToGrid/>
          <w:color w:val="2E2E2E"/>
          <w:kern w:val="0"/>
          <w:szCs w:val="22"/>
        </w:rPr>
        <w:t xml:space="preserve">request reinstatement of the application </w:t>
      </w:r>
      <w:r w:rsidR="00D734C2">
        <w:rPr>
          <w:i/>
          <w:iCs/>
          <w:snapToGrid/>
          <w:color w:val="2E2E2E"/>
          <w:kern w:val="0"/>
          <w:szCs w:val="22"/>
        </w:rPr>
        <w:t xml:space="preserve">nunc pro </w:t>
      </w:r>
      <w:r w:rsidRPr="00D734C2" w:rsidR="00D734C2">
        <w:rPr>
          <w:i/>
          <w:iCs/>
          <w:snapToGrid/>
          <w:color w:val="2E2E2E"/>
          <w:kern w:val="0"/>
          <w:szCs w:val="22"/>
        </w:rPr>
        <w:t>tunc</w:t>
      </w:r>
      <w:r>
        <w:rPr>
          <w:rStyle w:val="FootnoteReference"/>
          <w:i/>
          <w:iCs/>
          <w:snapToGrid/>
          <w:kern w:val="0"/>
          <w:szCs w:val="22"/>
        </w:rPr>
        <w:footnoteReference w:id="9"/>
      </w:r>
      <w:r w:rsidR="00D734C2">
        <w:rPr>
          <w:snapToGrid/>
          <w:color w:val="2E2E2E"/>
          <w:kern w:val="0"/>
          <w:szCs w:val="22"/>
        </w:rPr>
        <w:t xml:space="preserve"> by </w:t>
      </w:r>
      <w:r w:rsidRPr="00D734C2" w:rsidR="00286611">
        <w:rPr>
          <w:snapToGrid/>
          <w:color w:val="2E2E2E"/>
          <w:kern w:val="0"/>
          <w:szCs w:val="22"/>
        </w:rPr>
        <w:t>fil</w:t>
      </w:r>
      <w:r w:rsidR="00D734C2">
        <w:rPr>
          <w:snapToGrid/>
          <w:color w:val="2E2E2E"/>
          <w:kern w:val="0"/>
          <w:szCs w:val="22"/>
        </w:rPr>
        <w:t>ing</w:t>
      </w:r>
      <w:r w:rsidR="00286611">
        <w:rPr>
          <w:snapToGrid/>
          <w:color w:val="2E2E2E"/>
          <w:kern w:val="0"/>
          <w:szCs w:val="22"/>
        </w:rPr>
        <w:t xml:space="preserve"> </w:t>
      </w:r>
      <w:r w:rsidR="00E20B8E">
        <w:rPr>
          <w:snapToGrid/>
          <w:color w:val="2E2E2E"/>
          <w:kern w:val="0"/>
          <w:szCs w:val="22"/>
        </w:rPr>
        <w:t xml:space="preserve">a </w:t>
      </w:r>
      <w:r w:rsidR="00286611">
        <w:rPr>
          <w:snapToGrid/>
          <w:color w:val="2E2E2E"/>
          <w:kern w:val="0"/>
          <w:szCs w:val="22"/>
        </w:rPr>
        <w:t>minor curative amendment and petition for reconsideration</w:t>
      </w:r>
      <w:r w:rsidR="00286611">
        <w:rPr>
          <w:i/>
          <w:iCs/>
          <w:snapToGrid/>
          <w:color w:val="2E2E2E"/>
          <w:kern w:val="0"/>
          <w:szCs w:val="22"/>
        </w:rPr>
        <w:t>.</w:t>
      </w:r>
      <w:r>
        <w:rPr>
          <w:rStyle w:val="FootnoteReference"/>
          <w:snapToGrid/>
          <w:kern w:val="0"/>
          <w:szCs w:val="22"/>
        </w:rPr>
        <w:footnoteReference w:id="10"/>
      </w:r>
      <w:r w:rsidR="00286611">
        <w:rPr>
          <w:i/>
          <w:iCs/>
          <w:snapToGrid/>
          <w:color w:val="2E2E2E"/>
          <w:kern w:val="0"/>
          <w:szCs w:val="22"/>
        </w:rPr>
        <w:t xml:space="preserve">  </w:t>
      </w:r>
      <w:r w:rsidR="00286611">
        <w:rPr>
          <w:snapToGrid/>
          <w:color w:val="2E2E2E"/>
          <w:kern w:val="0"/>
          <w:szCs w:val="22"/>
        </w:rPr>
        <w:t>Any amendments and petition</w:t>
      </w:r>
      <w:r w:rsidR="00E20B8E">
        <w:rPr>
          <w:snapToGrid/>
          <w:color w:val="2E2E2E"/>
          <w:kern w:val="0"/>
          <w:szCs w:val="22"/>
        </w:rPr>
        <w:t>s</w:t>
      </w:r>
      <w:r w:rsidR="00286611">
        <w:rPr>
          <w:snapToGrid/>
          <w:color w:val="2E2E2E"/>
          <w:kern w:val="0"/>
          <w:szCs w:val="22"/>
        </w:rPr>
        <w:t xml:space="preserve"> for reconsideration </w:t>
      </w:r>
      <w:r w:rsidR="00D734C2">
        <w:rPr>
          <w:snapToGrid/>
          <w:color w:val="2E2E2E"/>
          <w:kern w:val="0"/>
          <w:szCs w:val="22"/>
        </w:rPr>
        <w:t xml:space="preserve">seeking reinstatement </w:t>
      </w:r>
      <w:r w:rsidR="00286611">
        <w:rPr>
          <w:snapToGrid/>
          <w:color w:val="2E2E2E"/>
          <w:kern w:val="0"/>
          <w:szCs w:val="22"/>
        </w:rPr>
        <w:t>must be filed within 30 days of the dismissals.  In order for an application to be reinstated, the amendment must correct all the application defects,</w:t>
      </w:r>
      <w:r w:rsidR="00D441CA">
        <w:rPr>
          <w:snapToGrid/>
          <w:color w:val="2E2E2E"/>
          <w:kern w:val="0"/>
          <w:szCs w:val="22"/>
        </w:rPr>
        <w:t xml:space="preserve"> </w:t>
      </w:r>
      <w:r w:rsidR="00286611">
        <w:rPr>
          <w:snapToGrid/>
          <w:color w:val="2E2E2E"/>
          <w:kern w:val="0"/>
          <w:szCs w:val="22"/>
        </w:rPr>
        <w:t xml:space="preserve">propose only minor changes, comply with all </w:t>
      </w:r>
      <w:r w:rsidR="00E20B8E">
        <w:rPr>
          <w:snapToGrid/>
          <w:color w:val="2E2E2E"/>
          <w:kern w:val="0"/>
          <w:szCs w:val="22"/>
        </w:rPr>
        <w:t xml:space="preserve">the Commission’s </w:t>
      </w:r>
      <w:r w:rsidR="00286611">
        <w:rPr>
          <w:snapToGrid/>
          <w:color w:val="2E2E2E"/>
          <w:kern w:val="0"/>
          <w:szCs w:val="22"/>
        </w:rPr>
        <w:t xml:space="preserve">relevant rules, and not create any new application conflicts.  </w:t>
      </w:r>
    </w:p>
    <w:p w:rsidR="00FE627B" w:rsidP="00FA479F" w14:paraId="59B67802" w14:textId="7007D449">
      <w:pPr>
        <w:widowControl/>
        <w:autoSpaceDE w:val="0"/>
        <w:autoSpaceDN w:val="0"/>
        <w:adjustRightInd w:val="0"/>
        <w:ind w:firstLine="720"/>
        <w:rPr>
          <w:snapToGrid/>
          <w:color w:val="2E2E2E"/>
          <w:kern w:val="0"/>
          <w:szCs w:val="22"/>
        </w:rPr>
      </w:pPr>
    </w:p>
    <w:p w:rsidR="00994E43" w:rsidRPr="00A77FAD" w:rsidP="00994E43" w14:paraId="1AC11C33" w14:textId="5402A0B8">
      <w:pPr>
        <w:tabs>
          <w:tab w:val="left" w:pos="1"/>
          <w:tab w:val="left" w:pos="720"/>
          <w:tab w:val="left" w:pos="1440"/>
          <w:tab w:val="right" w:pos="9360"/>
        </w:tabs>
        <w:rPr>
          <w:szCs w:val="22"/>
        </w:rPr>
      </w:pPr>
      <w:r>
        <w:rPr>
          <w:b/>
          <w:bCs/>
          <w:snapToGrid/>
          <w:color w:val="2E2E2E"/>
          <w:kern w:val="0"/>
          <w:szCs w:val="22"/>
        </w:rPr>
        <w:tab/>
      </w:r>
      <w:r>
        <w:rPr>
          <w:b/>
          <w:bCs/>
          <w:snapToGrid/>
          <w:color w:val="2E2E2E"/>
          <w:kern w:val="0"/>
          <w:szCs w:val="22"/>
        </w:rPr>
        <w:tab/>
      </w:r>
      <w:r w:rsidR="005405BD">
        <w:rPr>
          <w:b/>
          <w:bCs/>
          <w:snapToGrid/>
          <w:color w:val="2E2E2E"/>
          <w:kern w:val="0"/>
          <w:szCs w:val="22"/>
        </w:rPr>
        <w:t>Settlement Period</w:t>
      </w:r>
      <w:r w:rsidR="00897AF8">
        <w:rPr>
          <w:b/>
          <w:bCs/>
          <w:snapToGrid/>
          <w:color w:val="2E2E2E"/>
          <w:kern w:val="0"/>
          <w:szCs w:val="22"/>
        </w:rPr>
        <w:t xml:space="preserve"> – Resolution of Application Conflicts</w:t>
      </w:r>
      <w:r w:rsidR="005405BD">
        <w:rPr>
          <w:b/>
          <w:bCs/>
          <w:snapToGrid/>
          <w:color w:val="2E2E2E"/>
          <w:kern w:val="0"/>
          <w:szCs w:val="22"/>
        </w:rPr>
        <w:t>.</w:t>
      </w:r>
      <w:r>
        <w:rPr>
          <w:b/>
          <w:bCs/>
          <w:snapToGrid/>
          <w:color w:val="2E2E2E"/>
          <w:kern w:val="0"/>
          <w:szCs w:val="22"/>
        </w:rPr>
        <w:t xml:space="preserve"> </w:t>
      </w:r>
      <w:r>
        <w:rPr>
          <w:snapToGrid/>
          <w:color w:val="2E2E2E"/>
          <w:kern w:val="0"/>
          <w:szCs w:val="22"/>
        </w:rPr>
        <w:t xml:space="preserve"> </w:t>
      </w:r>
      <w:r w:rsidR="00BA088D">
        <w:rPr>
          <w:snapToGrid/>
          <w:color w:val="2E2E2E"/>
          <w:kern w:val="0"/>
          <w:szCs w:val="22"/>
        </w:rPr>
        <w:t xml:space="preserve">MX LPFM </w:t>
      </w:r>
      <w:r>
        <w:rPr>
          <w:bCs/>
          <w:szCs w:val="22"/>
        </w:rPr>
        <w:t>applicants have a 60-day period</w:t>
      </w:r>
      <w:r w:rsidR="00BA088D">
        <w:rPr>
          <w:bCs/>
          <w:szCs w:val="22"/>
        </w:rPr>
        <w:t xml:space="preserve">, </w:t>
      </w:r>
      <w:r w:rsidRPr="008172A5" w:rsidR="00BA088D">
        <w:rPr>
          <w:bCs/>
          <w:szCs w:val="22"/>
        </w:rPr>
        <w:t xml:space="preserve">until </w:t>
      </w:r>
      <w:r w:rsidRPr="008172A5" w:rsidR="008172A5">
        <w:rPr>
          <w:snapToGrid/>
          <w:color w:val="2E2E2E"/>
          <w:kern w:val="0"/>
          <w:szCs w:val="22"/>
        </w:rPr>
        <w:t>May 14</w:t>
      </w:r>
      <w:r w:rsidRPr="008172A5" w:rsidR="00BA088D">
        <w:rPr>
          <w:bCs/>
          <w:szCs w:val="22"/>
        </w:rPr>
        <w:t>, 2024,</w:t>
      </w:r>
      <w:r w:rsidRPr="008172A5">
        <w:rPr>
          <w:bCs/>
          <w:szCs w:val="22"/>
        </w:rPr>
        <w:t xml:space="preserve"> t</w:t>
      </w:r>
      <w:r>
        <w:rPr>
          <w:bCs/>
          <w:szCs w:val="22"/>
        </w:rPr>
        <w:t>o resolve conflicts through two methods - settlement agreements</w:t>
      </w:r>
      <w:r w:rsidR="00B10394">
        <w:rPr>
          <w:bCs/>
          <w:szCs w:val="22"/>
        </w:rPr>
        <w:t xml:space="preserve"> </w:t>
      </w:r>
      <w:r w:rsidR="00807EC7">
        <w:rPr>
          <w:bCs/>
          <w:szCs w:val="22"/>
        </w:rPr>
        <w:t>or</w:t>
      </w:r>
      <w:r w:rsidR="00B10394">
        <w:rPr>
          <w:bCs/>
          <w:szCs w:val="22"/>
        </w:rPr>
        <w:t xml:space="preserve"> </w:t>
      </w:r>
      <w:r>
        <w:rPr>
          <w:bCs/>
          <w:szCs w:val="22"/>
        </w:rPr>
        <w:t>technical amendments.</w:t>
      </w:r>
      <w:r>
        <w:rPr>
          <w:rStyle w:val="FootnoteReference"/>
          <w:bCs/>
          <w:szCs w:val="22"/>
        </w:rPr>
        <w:footnoteReference w:id="11"/>
      </w:r>
      <w:r>
        <w:rPr>
          <w:bCs/>
          <w:szCs w:val="22"/>
        </w:rPr>
        <w:t xml:space="preserve">  </w:t>
      </w:r>
      <w:r w:rsidRPr="005D6879">
        <w:rPr>
          <w:szCs w:val="22"/>
        </w:rPr>
        <w:t>Th</w:t>
      </w:r>
      <w:r w:rsidR="00A77FAD">
        <w:rPr>
          <w:szCs w:val="22"/>
        </w:rPr>
        <w:t>is</w:t>
      </w:r>
      <w:r w:rsidRPr="005D6879">
        <w:rPr>
          <w:szCs w:val="22"/>
        </w:rPr>
        <w:t xml:space="preserve"> filing opportunity </w:t>
      </w:r>
      <w:r w:rsidR="00A77FAD">
        <w:rPr>
          <w:szCs w:val="22"/>
        </w:rPr>
        <w:t>is</w:t>
      </w:r>
      <w:r w:rsidRPr="005D6879">
        <w:rPr>
          <w:szCs w:val="22"/>
        </w:rPr>
        <w:t xml:space="preserve"> limited to settlement agreements, which may include requests to dismiss applications filed in the window, and/or engineering amendments that resolve all technical conflicts between at least one application and all other </w:t>
      </w:r>
      <w:r>
        <w:rPr>
          <w:szCs w:val="22"/>
        </w:rPr>
        <w:t xml:space="preserve">MX </w:t>
      </w:r>
      <w:r w:rsidRPr="005D6879">
        <w:rPr>
          <w:szCs w:val="22"/>
        </w:rPr>
        <w:t>applications filed in the window</w:t>
      </w:r>
      <w:r>
        <w:rPr>
          <w:szCs w:val="22"/>
        </w:rPr>
        <w:t>.</w:t>
      </w:r>
      <w:r>
        <w:rPr>
          <w:rStyle w:val="FootnoteReference"/>
          <w:szCs w:val="22"/>
        </w:rPr>
        <w:footnoteReference w:id="12"/>
      </w:r>
      <w:r w:rsidR="00A77FAD">
        <w:rPr>
          <w:rStyle w:val="documentbody1"/>
          <w:rFonts w:ascii="Times New Roman" w:hAnsi="Times New Roman"/>
          <w:color w:val="000000"/>
          <w:sz w:val="22"/>
          <w:szCs w:val="22"/>
        </w:rPr>
        <w:t xml:space="preserve">  </w:t>
      </w:r>
      <w:r w:rsidR="00A77FAD">
        <w:rPr>
          <w:rStyle w:val="documentbody1"/>
          <w:rFonts w:ascii="Times New Roman" w:hAnsi="Times New Roman"/>
          <w:sz w:val="22"/>
          <w:szCs w:val="22"/>
        </w:rPr>
        <w:t xml:space="preserve">The </w:t>
      </w:r>
      <w:r w:rsidR="00A77FAD">
        <w:rPr>
          <w:rStyle w:val="documentbody1"/>
          <w:rFonts w:ascii="Times New Roman" w:hAnsi="Times New Roman"/>
          <w:sz w:val="22"/>
          <w:szCs w:val="22"/>
        </w:rPr>
        <w:t>requirements and procedures for filing settlement agreements and technical amendments are explained below.</w:t>
      </w:r>
      <w:r>
        <w:rPr>
          <w:rStyle w:val="FootnoteReference"/>
          <w:szCs w:val="22"/>
        </w:rPr>
        <w:footnoteReference w:id="13"/>
      </w:r>
      <w:r w:rsidR="00A77FAD">
        <w:rPr>
          <w:snapToGrid/>
          <w:color w:val="2E2E2E"/>
          <w:kern w:val="0"/>
          <w:szCs w:val="22"/>
        </w:rPr>
        <w:t xml:space="preserve">  </w:t>
      </w:r>
      <w:r>
        <w:rPr>
          <w:b/>
          <w:szCs w:val="22"/>
        </w:rPr>
        <w:t xml:space="preserve">  </w:t>
      </w:r>
    </w:p>
    <w:p w:rsidR="00B63D49" w:rsidRPr="00DB646F" w:rsidP="00A77FAD" w14:paraId="0EEF5FDE" w14:textId="4E036A25">
      <w:pPr>
        <w:widowControl/>
        <w:autoSpaceDE w:val="0"/>
        <w:autoSpaceDN w:val="0"/>
        <w:adjustRightInd w:val="0"/>
        <w:rPr>
          <w:snapToGrid/>
          <w:kern w:val="0"/>
          <w:szCs w:val="22"/>
        </w:rPr>
      </w:pPr>
      <w:r>
        <w:rPr>
          <w:szCs w:val="22"/>
        </w:rPr>
        <w:t xml:space="preserve">  </w:t>
      </w:r>
    </w:p>
    <w:p w:rsidR="006503E5" w:rsidP="006503E5" w14:paraId="6561CFA8" w14:textId="18533E60">
      <w:pPr>
        <w:widowControl/>
        <w:autoSpaceDE w:val="0"/>
        <w:autoSpaceDN w:val="0"/>
        <w:adjustRightInd w:val="0"/>
        <w:ind w:firstLine="720"/>
        <w:rPr>
          <w:rStyle w:val="documentbody1"/>
          <w:rFonts w:ascii="Times New Roman" w:hAnsi="Times New Roman"/>
          <w:color w:val="000000"/>
          <w:sz w:val="22"/>
          <w:szCs w:val="22"/>
        </w:rPr>
      </w:pPr>
      <w:r w:rsidRPr="005D6879">
        <w:rPr>
          <w:rStyle w:val="documentbody1"/>
          <w:rFonts w:ascii="Times New Roman" w:hAnsi="Times New Roman"/>
          <w:color w:val="000000"/>
          <w:sz w:val="22"/>
          <w:szCs w:val="22"/>
        </w:rPr>
        <w:t>The Bureau will expedite the processing of all complete and rule-compliant settlement agreements and technical amendments</w:t>
      </w:r>
      <w:r w:rsidR="001E0D0E">
        <w:rPr>
          <w:rStyle w:val="documentbody1"/>
          <w:rFonts w:ascii="Times New Roman" w:hAnsi="Times New Roman"/>
          <w:color w:val="000000"/>
          <w:sz w:val="22"/>
          <w:szCs w:val="22"/>
        </w:rPr>
        <w:t xml:space="preserve"> that are filed </w:t>
      </w:r>
      <w:r w:rsidRPr="008172A5" w:rsidR="001E0D0E">
        <w:rPr>
          <w:rStyle w:val="documentbody1"/>
          <w:rFonts w:ascii="Times New Roman" w:hAnsi="Times New Roman"/>
          <w:color w:val="000000"/>
          <w:sz w:val="22"/>
          <w:szCs w:val="22"/>
        </w:rPr>
        <w:t xml:space="preserve">by </w:t>
      </w:r>
      <w:r w:rsidRPr="008172A5" w:rsidR="008172A5">
        <w:rPr>
          <w:snapToGrid/>
          <w:color w:val="2E2E2E"/>
          <w:kern w:val="0"/>
          <w:szCs w:val="22"/>
        </w:rPr>
        <w:t>May 14</w:t>
      </w:r>
      <w:r w:rsidRPr="008172A5" w:rsidR="001E0D0E">
        <w:rPr>
          <w:rStyle w:val="documentbody1"/>
          <w:rFonts w:ascii="Times New Roman" w:hAnsi="Times New Roman"/>
          <w:color w:val="000000"/>
          <w:sz w:val="22"/>
          <w:szCs w:val="22"/>
        </w:rPr>
        <w:t>, 202</w:t>
      </w:r>
      <w:r w:rsidRPr="008172A5" w:rsidR="0094275E">
        <w:rPr>
          <w:rStyle w:val="documentbody1"/>
          <w:rFonts w:ascii="Times New Roman" w:hAnsi="Times New Roman"/>
          <w:color w:val="000000"/>
          <w:sz w:val="22"/>
          <w:szCs w:val="22"/>
        </w:rPr>
        <w:t>4</w:t>
      </w:r>
      <w:r w:rsidRPr="008172A5" w:rsidR="001E0D0E">
        <w:rPr>
          <w:rStyle w:val="documentbody1"/>
          <w:rFonts w:ascii="Times New Roman" w:hAnsi="Times New Roman"/>
          <w:color w:val="000000"/>
          <w:sz w:val="22"/>
          <w:szCs w:val="22"/>
        </w:rPr>
        <w:t>.</w:t>
      </w:r>
      <w:r>
        <w:rPr>
          <w:rStyle w:val="FootnoteReference"/>
          <w:szCs w:val="22"/>
        </w:rPr>
        <w:footnoteReference w:id="14"/>
      </w:r>
      <w:r w:rsidRPr="008172A5" w:rsidR="00453DB9">
        <w:rPr>
          <w:rStyle w:val="documentbody1"/>
          <w:rFonts w:ascii="Times New Roman" w:hAnsi="Times New Roman"/>
          <w:color w:val="000000"/>
          <w:sz w:val="22"/>
          <w:szCs w:val="22"/>
        </w:rPr>
        <w:t xml:space="preserve">  </w:t>
      </w:r>
      <w:r w:rsidRPr="008172A5" w:rsidR="00DF1520">
        <w:rPr>
          <w:rStyle w:val="documentbody1"/>
          <w:rFonts w:ascii="Times New Roman" w:hAnsi="Times New Roman"/>
          <w:color w:val="000000"/>
          <w:sz w:val="22"/>
          <w:szCs w:val="22"/>
        </w:rPr>
        <w:t xml:space="preserve">Applicants in </w:t>
      </w:r>
      <w:r w:rsidRPr="008172A5" w:rsidR="00453DB9">
        <w:rPr>
          <w:rStyle w:val="documentbody1"/>
          <w:rFonts w:ascii="Times New Roman" w:hAnsi="Times New Roman"/>
          <w:color w:val="000000"/>
          <w:sz w:val="22"/>
          <w:szCs w:val="22"/>
        </w:rPr>
        <w:t xml:space="preserve">MX groups, which </w:t>
      </w:r>
      <w:r w:rsidRPr="008172A5" w:rsidR="00DF1520">
        <w:rPr>
          <w:rStyle w:val="documentbody1"/>
          <w:rFonts w:ascii="Times New Roman" w:hAnsi="Times New Roman"/>
          <w:color w:val="000000"/>
          <w:sz w:val="22"/>
          <w:szCs w:val="22"/>
        </w:rPr>
        <w:t xml:space="preserve">have not submitted settlements or technical amendments during this </w:t>
      </w:r>
      <w:r w:rsidRPr="008172A5" w:rsidR="00A77FAD">
        <w:rPr>
          <w:rStyle w:val="documentbody1"/>
          <w:rFonts w:ascii="Times New Roman" w:hAnsi="Times New Roman"/>
          <w:color w:val="000000"/>
          <w:sz w:val="22"/>
          <w:szCs w:val="22"/>
        </w:rPr>
        <w:t xml:space="preserve">allotted </w:t>
      </w:r>
      <w:r w:rsidRPr="008172A5" w:rsidR="00DF1520">
        <w:rPr>
          <w:rStyle w:val="documentbody1"/>
          <w:rFonts w:ascii="Times New Roman" w:hAnsi="Times New Roman"/>
          <w:color w:val="000000"/>
          <w:sz w:val="22"/>
          <w:szCs w:val="22"/>
        </w:rPr>
        <w:t>period,</w:t>
      </w:r>
      <w:r w:rsidRPr="008172A5" w:rsidR="00453DB9">
        <w:rPr>
          <w:rStyle w:val="documentbody1"/>
          <w:rFonts w:ascii="Times New Roman" w:hAnsi="Times New Roman"/>
          <w:color w:val="000000"/>
          <w:sz w:val="22"/>
          <w:szCs w:val="22"/>
        </w:rPr>
        <w:t xml:space="preserve"> will proceed to a comparative analysis.</w:t>
      </w:r>
      <w:r>
        <w:rPr>
          <w:rStyle w:val="FootnoteReference"/>
          <w:szCs w:val="22"/>
        </w:rPr>
        <w:footnoteReference w:id="15"/>
      </w:r>
      <w:r w:rsidRPr="008172A5">
        <w:rPr>
          <w:rStyle w:val="documentbody1"/>
          <w:rFonts w:ascii="Times New Roman" w:hAnsi="Times New Roman"/>
          <w:color w:val="000000"/>
          <w:sz w:val="22"/>
          <w:szCs w:val="22"/>
        </w:rPr>
        <w:t xml:space="preserve">  If applicants in any of the MX groups identified in Attachment A are still negotiating a settlement after </w:t>
      </w:r>
      <w:r w:rsidRPr="008172A5" w:rsidR="008172A5">
        <w:rPr>
          <w:snapToGrid/>
          <w:color w:val="2E2E2E"/>
          <w:kern w:val="0"/>
          <w:szCs w:val="22"/>
        </w:rPr>
        <w:t>May 14</w:t>
      </w:r>
      <w:r w:rsidRPr="008172A5">
        <w:rPr>
          <w:rStyle w:val="documentbody1"/>
          <w:rFonts w:ascii="Times New Roman" w:hAnsi="Times New Roman"/>
          <w:color w:val="000000"/>
          <w:sz w:val="22"/>
          <w:szCs w:val="22"/>
        </w:rPr>
        <w:t>, 202</w:t>
      </w:r>
      <w:r w:rsidRPr="008172A5" w:rsidR="0094275E">
        <w:rPr>
          <w:rStyle w:val="documentbody1"/>
          <w:rFonts w:ascii="Times New Roman" w:hAnsi="Times New Roman"/>
          <w:color w:val="000000"/>
          <w:sz w:val="22"/>
          <w:szCs w:val="22"/>
        </w:rPr>
        <w:t>4</w:t>
      </w:r>
      <w:r w:rsidRPr="008172A5">
        <w:rPr>
          <w:rStyle w:val="documentbody1"/>
          <w:rFonts w:ascii="Times New Roman" w:hAnsi="Times New Roman"/>
          <w:color w:val="000000"/>
          <w:sz w:val="22"/>
          <w:szCs w:val="22"/>
        </w:rPr>
        <w:t>, they should</w:t>
      </w:r>
      <w:r>
        <w:rPr>
          <w:rStyle w:val="documentbody1"/>
          <w:rFonts w:ascii="Times New Roman" w:hAnsi="Times New Roman"/>
          <w:color w:val="000000"/>
          <w:sz w:val="22"/>
          <w:szCs w:val="22"/>
        </w:rPr>
        <w:t xml:space="preserve"> advise the Division </w:t>
      </w:r>
      <w:r w:rsidR="005F0EC8">
        <w:rPr>
          <w:rStyle w:val="documentbody1"/>
          <w:rFonts w:ascii="Times New Roman" w:hAnsi="Times New Roman"/>
          <w:color w:val="000000"/>
          <w:sz w:val="22"/>
          <w:szCs w:val="22"/>
        </w:rPr>
        <w:t>of this fact so the Division can</w:t>
      </w:r>
      <w:r>
        <w:rPr>
          <w:rStyle w:val="documentbody1"/>
          <w:rFonts w:ascii="Times New Roman" w:hAnsi="Times New Roman"/>
          <w:color w:val="000000"/>
          <w:sz w:val="22"/>
          <w:szCs w:val="22"/>
        </w:rPr>
        <w:t xml:space="preserve"> withhold further </w:t>
      </w:r>
      <w:r w:rsidR="005F0EC8">
        <w:rPr>
          <w:rStyle w:val="documentbody1"/>
          <w:rFonts w:ascii="Times New Roman" w:hAnsi="Times New Roman"/>
          <w:color w:val="000000"/>
          <w:sz w:val="22"/>
          <w:szCs w:val="22"/>
        </w:rPr>
        <w:t xml:space="preserve">comparative </w:t>
      </w:r>
      <w:r>
        <w:rPr>
          <w:rStyle w:val="documentbody1"/>
          <w:rFonts w:ascii="Times New Roman" w:hAnsi="Times New Roman"/>
          <w:color w:val="000000"/>
          <w:sz w:val="22"/>
          <w:szCs w:val="22"/>
        </w:rPr>
        <w:t>processing</w:t>
      </w:r>
      <w:r w:rsidR="002D1B96">
        <w:rPr>
          <w:rStyle w:val="documentbody1"/>
          <w:rFonts w:ascii="Times New Roman" w:hAnsi="Times New Roman"/>
          <w:color w:val="000000"/>
          <w:sz w:val="22"/>
          <w:szCs w:val="22"/>
        </w:rPr>
        <w:t>.</w:t>
      </w:r>
    </w:p>
    <w:p w:rsidR="006906C2" w:rsidRPr="005A2684" w:rsidP="005A2684" w14:paraId="46DCA6F0" w14:textId="01395D96">
      <w:pPr>
        <w:widowControl/>
        <w:autoSpaceDE w:val="0"/>
        <w:autoSpaceDN w:val="0"/>
        <w:adjustRightInd w:val="0"/>
        <w:ind w:firstLine="720"/>
        <w:rPr>
          <w:snapToGrid/>
          <w:color w:val="2E2E2E"/>
          <w:kern w:val="0"/>
          <w:szCs w:val="22"/>
        </w:rPr>
      </w:pPr>
      <w:r>
        <w:rPr>
          <w:rStyle w:val="documentbody1"/>
          <w:rFonts w:ascii="Times New Roman" w:hAnsi="Times New Roman"/>
          <w:color w:val="000000"/>
          <w:sz w:val="22"/>
          <w:szCs w:val="22"/>
        </w:rPr>
        <w:t xml:space="preserve"> </w:t>
      </w:r>
    </w:p>
    <w:p w:rsidR="005D6879" w:rsidRPr="005D6879" w:rsidP="00B83C99" w14:paraId="51C9CAD9" w14:textId="6B881CA4">
      <w:pPr>
        <w:ind w:firstLine="720"/>
        <w:rPr>
          <w:b/>
          <w:szCs w:val="22"/>
        </w:rPr>
      </w:pPr>
      <w:r w:rsidRPr="005405BD">
        <w:rPr>
          <w:bCs/>
          <w:szCs w:val="22"/>
          <w:u w:val="single"/>
        </w:rPr>
        <w:t>Settlement Agreements.</w:t>
      </w:r>
      <w:r>
        <w:rPr>
          <w:rStyle w:val="FootnoteReference"/>
          <w:bCs/>
          <w:szCs w:val="22"/>
        </w:rPr>
        <w:footnoteReference w:id="16"/>
      </w:r>
      <w:r w:rsidRPr="005D6879">
        <w:rPr>
          <w:b/>
          <w:szCs w:val="22"/>
        </w:rPr>
        <w:t xml:space="preserve">  </w:t>
      </w:r>
      <w:r w:rsidRPr="005D6879">
        <w:rPr>
          <w:rStyle w:val="documentbody1"/>
          <w:rFonts w:ascii="Times New Roman" w:hAnsi="Times New Roman"/>
          <w:color w:val="000000"/>
          <w:sz w:val="22"/>
          <w:szCs w:val="22"/>
        </w:rPr>
        <w:t xml:space="preserve">A settlement must propose the grant of at least one technically acceptable application within a group of mutually exclusive applications and must not create </w:t>
      </w:r>
      <w:r w:rsidRPr="00B83C99">
        <w:rPr>
          <w:rStyle w:val="documentbody1"/>
          <w:rFonts w:ascii="Times New Roman" w:hAnsi="Times New Roman"/>
          <w:i/>
          <w:iCs/>
          <w:color w:val="000000"/>
          <w:sz w:val="22"/>
          <w:szCs w:val="22"/>
        </w:rPr>
        <w:t>any</w:t>
      </w:r>
      <w:r w:rsidRPr="005D6879">
        <w:rPr>
          <w:rStyle w:val="documentbody1"/>
          <w:rFonts w:ascii="Times New Roman" w:hAnsi="Times New Roman"/>
          <w:color w:val="000000"/>
          <w:sz w:val="22"/>
          <w:szCs w:val="22"/>
        </w:rPr>
        <w:t xml:space="preserve"> new application conflicts</w:t>
      </w:r>
      <w:r w:rsidR="005D6A47">
        <w:rPr>
          <w:rStyle w:val="documentbody1"/>
          <w:rFonts w:ascii="Times New Roman" w:hAnsi="Times New Roman"/>
          <w:color w:val="000000"/>
          <w:sz w:val="22"/>
          <w:szCs w:val="22"/>
        </w:rPr>
        <w:t xml:space="preserve"> or make any existing conflicts worse</w:t>
      </w:r>
      <w:r w:rsidRPr="005D6879">
        <w:rPr>
          <w:rStyle w:val="documentbody1"/>
          <w:rFonts w:ascii="Times New Roman" w:hAnsi="Times New Roman"/>
          <w:color w:val="000000"/>
          <w:sz w:val="22"/>
          <w:szCs w:val="22"/>
        </w:rPr>
        <w:t>.</w:t>
      </w:r>
      <w:r>
        <w:rPr>
          <w:rStyle w:val="FootnoteReference"/>
          <w:color w:val="000000"/>
          <w:szCs w:val="22"/>
        </w:rPr>
        <w:footnoteReference w:id="17"/>
      </w:r>
      <w:r w:rsidRPr="005D6879">
        <w:rPr>
          <w:rStyle w:val="documentbody1"/>
          <w:rFonts w:ascii="Times New Roman" w:hAnsi="Times New Roman"/>
          <w:color w:val="000000"/>
          <w:sz w:val="22"/>
          <w:szCs w:val="22"/>
        </w:rPr>
        <w:t xml:space="preserve">  Universal settlements</w:t>
      </w:r>
      <w:r w:rsidR="000334C6">
        <w:rPr>
          <w:rStyle w:val="documentbody1"/>
          <w:rFonts w:ascii="Times New Roman" w:hAnsi="Times New Roman"/>
          <w:color w:val="000000"/>
          <w:sz w:val="22"/>
          <w:szCs w:val="22"/>
        </w:rPr>
        <w:t>, which resolve the claims of all applications within an MX group,</w:t>
      </w:r>
      <w:r w:rsidRPr="005D6879">
        <w:rPr>
          <w:rStyle w:val="documentbody1"/>
          <w:rFonts w:ascii="Times New Roman" w:hAnsi="Times New Roman"/>
          <w:color w:val="000000"/>
          <w:sz w:val="22"/>
          <w:szCs w:val="22"/>
        </w:rPr>
        <w:t xml:space="preserve"> are encouraged</w:t>
      </w:r>
      <w:r w:rsidR="000334C6">
        <w:rPr>
          <w:rStyle w:val="documentbody1"/>
          <w:rFonts w:ascii="Times New Roman" w:hAnsi="Times New Roman"/>
          <w:color w:val="000000"/>
          <w:sz w:val="22"/>
          <w:szCs w:val="22"/>
        </w:rPr>
        <w:t>,</w:t>
      </w:r>
      <w:r w:rsidRPr="005D6879">
        <w:rPr>
          <w:rStyle w:val="documentbody1"/>
          <w:rFonts w:ascii="Times New Roman" w:hAnsi="Times New Roman"/>
          <w:color w:val="000000"/>
          <w:sz w:val="22"/>
          <w:szCs w:val="22"/>
        </w:rPr>
        <w:t xml:space="preserve"> but not required.     </w:t>
      </w:r>
    </w:p>
    <w:p w:rsidR="00D748F8" w:rsidP="006906C2" w14:paraId="70E0D323" w14:textId="77777777">
      <w:pPr>
        <w:ind w:firstLine="720"/>
        <w:rPr>
          <w:color w:val="000000"/>
          <w:szCs w:val="22"/>
        </w:rPr>
      </w:pPr>
    </w:p>
    <w:p w:rsidR="006906C2" w:rsidRPr="00CF782A" w:rsidP="006906C2" w14:paraId="5D5CE101" w14:textId="5BB95AE4">
      <w:pPr>
        <w:ind w:firstLine="720"/>
        <w:rPr>
          <w:b/>
          <w:szCs w:val="22"/>
        </w:rPr>
      </w:pPr>
      <w:r w:rsidRPr="007E2248">
        <w:rPr>
          <w:color w:val="000000"/>
          <w:szCs w:val="22"/>
        </w:rPr>
        <w:t xml:space="preserve">Applicants entering into agreements to procure the removal of a conflict between applications by amendment or dismissal of an application must ensure that their settlement agreements comply with the pertinent requirements of </w:t>
      </w:r>
      <w:r>
        <w:rPr>
          <w:color w:val="000000"/>
          <w:szCs w:val="22"/>
        </w:rPr>
        <w:t>s</w:t>
      </w:r>
      <w:r w:rsidRPr="007E2248">
        <w:rPr>
          <w:color w:val="000000"/>
          <w:szCs w:val="22"/>
        </w:rPr>
        <w:t xml:space="preserve">ection 73.3525 of the Commission’s </w:t>
      </w:r>
      <w:r>
        <w:rPr>
          <w:color w:val="000000"/>
          <w:szCs w:val="22"/>
        </w:rPr>
        <w:t>r</w:t>
      </w:r>
      <w:r w:rsidRPr="007E2248">
        <w:rPr>
          <w:color w:val="000000"/>
          <w:szCs w:val="22"/>
        </w:rPr>
        <w:t>ules, including reimbursement restrictions.</w:t>
      </w:r>
      <w:r>
        <w:rPr>
          <w:rStyle w:val="FootnoteReference"/>
          <w:color w:val="000000"/>
          <w:szCs w:val="22"/>
        </w:rPr>
        <w:footnoteReference w:id="18"/>
      </w:r>
      <w:r w:rsidRPr="007E2248">
        <w:rPr>
          <w:color w:val="000000"/>
          <w:szCs w:val="22"/>
        </w:rPr>
        <w:t xml:space="preserve">  Specifically, parties must file with the </w:t>
      </w:r>
      <w:r>
        <w:rPr>
          <w:color w:val="000000"/>
          <w:szCs w:val="22"/>
        </w:rPr>
        <w:t>Bureau:</w:t>
      </w:r>
      <w:r w:rsidRPr="005D6879">
        <w:rPr>
          <w:rStyle w:val="documentbody1"/>
          <w:rFonts w:ascii="Times New Roman" w:hAnsi="Times New Roman"/>
          <w:color w:val="000000"/>
          <w:sz w:val="22"/>
          <w:szCs w:val="22"/>
        </w:rPr>
        <w:t xml:space="preserve">     </w:t>
      </w:r>
    </w:p>
    <w:p w:rsidR="006906C2" w:rsidRPr="005D6879" w:rsidP="006906C2" w14:paraId="4F30BACE" w14:textId="77777777">
      <w:pPr>
        <w:rPr>
          <w:color w:val="000000"/>
          <w:szCs w:val="22"/>
        </w:rPr>
      </w:pPr>
    </w:p>
    <w:p w:rsidR="006906C2" w:rsidRPr="005D6879" w:rsidP="006906C2" w14:paraId="1B7B49B4" w14:textId="77777777">
      <w:pPr>
        <w:ind w:firstLine="720"/>
        <w:rPr>
          <w:szCs w:val="22"/>
        </w:rPr>
      </w:pPr>
      <w:r w:rsidRPr="005D6879">
        <w:rPr>
          <w:color w:val="000000"/>
          <w:szCs w:val="22"/>
        </w:rPr>
        <w:t>1.  A copy of their settlement agreement and any ancillary agreement(s);</w:t>
      </w:r>
    </w:p>
    <w:p w:rsidR="006906C2" w:rsidRPr="005D6879" w:rsidP="006906C2" w14:paraId="63C74233" w14:textId="77777777">
      <w:pPr>
        <w:ind w:firstLine="720"/>
        <w:rPr>
          <w:color w:val="000000"/>
          <w:szCs w:val="22"/>
        </w:rPr>
      </w:pPr>
      <w:r w:rsidRPr="005D6879">
        <w:rPr>
          <w:color w:val="000000"/>
          <w:szCs w:val="22"/>
        </w:rPr>
        <w:t>2.  A joint request for approval of such agreement; and</w:t>
      </w:r>
    </w:p>
    <w:p w:rsidR="006906C2" w:rsidRPr="005D6879" w:rsidP="006906C2" w14:paraId="6E438720" w14:textId="77777777">
      <w:pPr>
        <w:ind w:firstLine="720"/>
        <w:rPr>
          <w:color w:val="000000"/>
          <w:szCs w:val="22"/>
        </w:rPr>
      </w:pPr>
      <w:r w:rsidRPr="005D6879">
        <w:rPr>
          <w:color w:val="000000"/>
          <w:szCs w:val="22"/>
        </w:rPr>
        <w:t>3.  An affidavit of each party to the agreement setting forth:</w:t>
      </w:r>
    </w:p>
    <w:p w:rsidR="006906C2" w:rsidRPr="005D6879" w:rsidP="006906C2" w14:paraId="2FA3C658" w14:textId="43FB10E0">
      <w:pPr>
        <w:ind w:left="720" w:firstLine="720"/>
        <w:rPr>
          <w:color w:val="000000"/>
          <w:szCs w:val="22"/>
        </w:rPr>
      </w:pPr>
      <w:r w:rsidRPr="005D6879">
        <w:rPr>
          <w:color w:val="000000"/>
          <w:szCs w:val="22"/>
        </w:rPr>
        <w:t>(a) The reasons why such agreement is in the public interest;</w:t>
      </w:r>
    </w:p>
    <w:p w:rsidR="006906C2" w:rsidRPr="005D6879" w:rsidP="006906C2" w14:paraId="38FCF137" w14:textId="77777777">
      <w:pPr>
        <w:ind w:left="1440"/>
        <w:rPr>
          <w:color w:val="000000"/>
          <w:szCs w:val="22"/>
        </w:rPr>
      </w:pPr>
      <w:r w:rsidRPr="005D6879">
        <w:rPr>
          <w:color w:val="000000"/>
          <w:szCs w:val="22"/>
        </w:rPr>
        <w:t>(b) A statement that its application was not filed for the purpose of reaching or carrying out such agreement;</w:t>
      </w:r>
    </w:p>
    <w:p w:rsidR="006906C2" w:rsidRPr="005D6879" w:rsidP="006906C2" w14:paraId="5ABE9D40" w14:textId="77777777">
      <w:pPr>
        <w:ind w:left="1440"/>
        <w:rPr>
          <w:color w:val="000000"/>
          <w:szCs w:val="22"/>
        </w:rPr>
      </w:pPr>
      <w:r w:rsidRPr="005D6879">
        <w:rPr>
          <w:color w:val="000000"/>
          <w:szCs w:val="22"/>
        </w:rPr>
        <w:t>(c) A certification that neither the applicant nor its principals has received any money or other consideration in excess of the legitimate and prudent expenses of the applicant;</w:t>
      </w:r>
      <w:r>
        <w:rPr>
          <w:rStyle w:val="FootnoteReference"/>
          <w:color w:val="000000"/>
          <w:szCs w:val="22"/>
        </w:rPr>
        <w:footnoteReference w:id="19"/>
      </w:r>
    </w:p>
    <w:p w:rsidR="006906C2" w:rsidRPr="005D6879" w:rsidP="006906C2" w14:paraId="5DA38B05" w14:textId="77777777">
      <w:pPr>
        <w:ind w:left="720" w:firstLine="720"/>
        <w:rPr>
          <w:color w:val="000000"/>
          <w:szCs w:val="22"/>
        </w:rPr>
      </w:pPr>
      <w:r w:rsidRPr="005D6879">
        <w:rPr>
          <w:color w:val="000000"/>
          <w:szCs w:val="22"/>
        </w:rPr>
        <w:t>(d) The exact nature and amount of any consideration paid or promised;</w:t>
      </w:r>
    </w:p>
    <w:p w:rsidR="006906C2" w:rsidRPr="005D6879" w:rsidP="006906C2" w14:paraId="661938CC" w14:textId="77777777">
      <w:pPr>
        <w:ind w:left="720" w:firstLine="720"/>
        <w:rPr>
          <w:color w:val="000000"/>
          <w:szCs w:val="22"/>
        </w:rPr>
      </w:pPr>
      <w:r w:rsidRPr="005D6879">
        <w:rPr>
          <w:color w:val="000000"/>
          <w:szCs w:val="22"/>
        </w:rPr>
        <w:t>(e) An itemized accounting of the expenses for which it seeks reimbursement; and</w:t>
      </w:r>
    </w:p>
    <w:p w:rsidR="006906C2" w:rsidRPr="005D6879" w:rsidP="006906C2" w14:paraId="70A4DF38" w14:textId="77777777">
      <w:pPr>
        <w:ind w:left="1440"/>
        <w:rPr>
          <w:color w:val="000000"/>
          <w:szCs w:val="22"/>
        </w:rPr>
      </w:pPr>
      <w:r w:rsidRPr="005D6879">
        <w:rPr>
          <w:color w:val="000000"/>
          <w:szCs w:val="22"/>
        </w:rPr>
        <w:t>(f) The terms of any oral agreement relating to the dismissal or withdrawal of its application.</w:t>
      </w:r>
      <w:r>
        <w:rPr>
          <w:rStyle w:val="FootnoteReference"/>
          <w:color w:val="000000"/>
          <w:szCs w:val="22"/>
        </w:rPr>
        <w:footnoteReference w:id="20"/>
      </w:r>
    </w:p>
    <w:p w:rsidR="005D6879" w:rsidRPr="005D6879" w:rsidP="00D748F8" w14:paraId="600AD995" w14:textId="2E3A66BD">
      <w:pPr>
        <w:tabs>
          <w:tab w:val="left" w:pos="1890"/>
        </w:tabs>
        <w:rPr>
          <w:szCs w:val="22"/>
        </w:rPr>
      </w:pPr>
      <w:r>
        <w:rPr>
          <w:szCs w:val="22"/>
        </w:rPr>
        <w:tab/>
      </w:r>
      <w:bookmarkStart w:id="1" w:name="sp_1511_11721"/>
      <w:bookmarkStart w:id="2" w:name="SDU_11721"/>
      <w:bookmarkStart w:id="3" w:name="citeas((Cite_as:_21_F.C.C.R._11720,_*117"/>
      <w:bookmarkEnd w:id="1"/>
      <w:bookmarkEnd w:id="2"/>
      <w:bookmarkEnd w:id="3"/>
    </w:p>
    <w:p w:rsidR="005D6879" w:rsidRPr="005D6879" w:rsidP="00B83C99" w14:paraId="1B4A0AB0" w14:textId="6F24B168">
      <w:pPr>
        <w:ind w:firstLine="720"/>
        <w:rPr>
          <w:szCs w:val="22"/>
        </w:rPr>
      </w:pPr>
      <w:r>
        <w:rPr>
          <w:i/>
          <w:iCs/>
          <w:color w:val="000000"/>
          <w:szCs w:val="22"/>
        </w:rPr>
        <w:t xml:space="preserve">Unilateral </w:t>
      </w:r>
      <w:r w:rsidRPr="00B10394">
        <w:rPr>
          <w:i/>
          <w:iCs/>
          <w:color w:val="000000"/>
          <w:szCs w:val="22"/>
        </w:rPr>
        <w:t>Withdrawals</w:t>
      </w:r>
      <w:r>
        <w:rPr>
          <w:color w:val="000000"/>
          <w:szCs w:val="22"/>
        </w:rPr>
        <w:t xml:space="preserve">.  </w:t>
      </w:r>
      <w:r w:rsidRPr="00B10394">
        <w:rPr>
          <w:color w:val="000000"/>
          <w:szCs w:val="22"/>
        </w:rPr>
        <w:t>Applicants</w:t>
      </w:r>
      <w:r w:rsidRPr="005D6879">
        <w:rPr>
          <w:color w:val="000000"/>
          <w:szCs w:val="22"/>
        </w:rPr>
        <w:t xml:space="preserve"> that unilaterally </w:t>
      </w:r>
      <w:r>
        <w:rPr>
          <w:color w:val="000000"/>
          <w:szCs w:val="22"/>
        </w:rPr>
        <w:t>request to withdraw</w:t>
      </w:r>
      <w:r w:rsidRPr="005D6879">
        <w:rPr>
          <w:color w:val="000000"/>
          <w:szCs w:val="22"/>
        </w:rPr>
        <w:t xml:space="preserve"> their application without having entered into a settlement agreement with another applicant must nevertheless still submit an affidavit as to whether or not consideration has been promised to or received by such applicant in connection with their dismissal.</w:t>
      </w:r>
      <w:r>
        <w:rPr>
          <w:rStyle w:val="FootnoteReference"/>
          <w:color w:val="000000"/>
          <w:szCs w:val="22"/>
        </w:rPr>
        <w:footnoteReference w:id="21"/>
      </w:r>
      <w:r w:rsidRPr="005D6879">
        <w:rPr>
          <w:color w:val="000000"/>
          <w:szCs w:val="22"/>
        </w:rPr>
        <w:t xml:space="preserve">  </w:t>
      </w:r>
    </w:p>
    <w:p w:rsidR="005D6879" w:rsidP="005D6879" w14:paraId="170D4F56" w14:textId="77777777">
      <w:pPr>
        <w:rPr>
          <w:b/>
          <w:szCs w:val="22"/>
        </w:rPr>
      </w:pPr>
      <w:bookmarkStart w:id="4" w:name="FN[FN8]"/>
      <w:bookmarkStart w:id="5" w:name="73.3525b5"/>
      <w:bookmarkEnd w:id="4"/>
      <w:bookmarkEnd w:id="5"/>
    </w:p>
    <w:p w:rsidR="00BA088D" w:rsidP="00BA088D" w14:paraId="618E5538" w14:textId="29A46C8B">
      <w:pPr>
        <w:ind w:firstLine="720"/>
        <w:rPr>
          <w:rStyle w:val="documentbody1"/>
          <w:rFonts w:ascii="Times New Roman" w:hAnsi="Times New Roman"/>
          <w:color w:val="000000"/>
          <w:sz w:val="22"/>
          <w:szCs w:val="22"/>
        </w:rPr>
      </w:pPr>
      <w:r w:rsidRPr="005405BD">
        <w:rPr>
          <w:bCs/>
          <w:szCs w:val="22"/>
          <w:u w:val="single"/>
        </w:rPr>
        <w:t>Technical Amendments.</w:t>
      </w:r>
      <w:r w:rsidR="00D44CF5">
        <w:rPr>
          <w:bCs/>
          <w:szCs w:val="22"/>
        </w:rPr>
        <w:t xml:space="preserve">  </w:t>
      </w:r>
      <w:r w:rsidRPr="005D6879" w:rsidR="00D44CF5">
        <w:rPr>
          <w:szCs w:val="22"/>
        </w:rPr>
        <w:t xml:space="preserve">Acceptable technical amendments will resolve all conflicts between at least one application and all other applications </w:t>
      </w:r>
      <w:r w:rsidR="00D44CF5">
        <w:rPr>
          <w:szCs w:val="22"/>
        </w:rPr>
        <w:t>in the same MX group</w:t>
      </w:r>
      <w:r w:rsidRPr="005D6879" w:rsidR="00D44CF5">
        <w:rPr>
          <w:szCs w:val="22"/>
        </w:rPr>
        <w:t>.</w:t>
      </w:r>
      <w:r>
        <w:rPr>
          <w:rStyle w:val="FootnoteReference"/>
          <w:szCs w:val="22"/>
        </w:rPr>
        <w:footnoteReference w:id="22"/>
      </w:r>
      <w:r w:rsidRPr="005D6879" w:rsidR="00D44CF5">
        <w:rPr>
          <w:szCs w:val="22"/>
        </w:rPr>
        <w:t xml:space="preserve">  </w:t>
      </w:r>
      <w:r w:rsidRPr="005D6879" w:rsidR="00D44CF5">
        <w:rPr>
          <w:rStyle w:val="documentbody1"/>
          <w:rFonts w:ascii="Times New Roman" w:hAnsi="Times New Roman"/>
          <w:color w:val="000000"/>
          <w:sz w:val="22"/>
          <w:szCs w:val="22"/>
        </w:rPr>
        <w:t xml:space="preserve">Only minor engineering amendments, </w:t>
      </w:r>
      <w:r w:rsidR="00D44CF5">
        <w:rPr>
          <w:rStyle w:val="documentbody1"/>
          <w:rFonts w:ascii="Times New Roman" w:hAnsi="Times New Roman"/>
          <w:color w:val="000000"/>
          <w:sz w:val="22"/>
          <w:szCs w:val="22"/>
        </w:rPr>
        <w:t xml:space="preserve">explained below, </w:t>
      </w:r>
      <w:r w:rsidR="00D44CF5">
        <w:rPr>
          <w:rStyle w:val="documentbody1"/>
          <w:rFonts w:ascii="Times New Roman" w:hAnsi="Times New Roman"/>
          <w:iCs/>
          <w:color w:val="000000"/>
          <w:sz w:val="22"/>
          <w:szCs w:val="22"/>
        </w:rPr>
        <w:t>will be accepted during th</w:t>
      </w:r>
      <w:r w:rsidR="0048613B">
        <w:rPr>
          <w:rStyle w:val="documentbody1"/>
          <w:rFonts w:ascii="Times New Roman" w:hAnsi="Times New Roman"/>
          <w:iCs/>
          <w:color w:val="000000"/>
          <w:sz w:val="22"/>
          <w:szCs w:val="22"/>
        </w:rPr>
        <w:t>is</w:t>
      </w:r>
      <w:r w:rsidR="00D44CF5">
        <w:rPr>
          <w:rStyle w:val="documentbody1"/>
          <w:rFonts w:ascii="Times New Roman" w:hAnsi="Times New Roman"/>
          <w:iCs/>
          <w:color w:val="000000"/>
          <w:sz w:val="22"/>
          <w:szCs w:val="22"/>
        </w:rPr>
        <w:t xml:space="preserve"> 60-day settlement period.</w:t>
      </w:r>
      <w:r w:rsidRPr="005D6879" w:rsidR="00D44CF5">
        <w:rPr>
          <w:rStyle w:val="documentbody1"/>
          <w:rFonts w:ascii="Times New Roman" w:hAnsi="Times New Roman"/>
          <w:color w:val="000000"/>
          <w:sz w:val="22"/>
          <w:szCs w:val="22"/>
        </w:rPr>
        <w:t xml:space="preserve">  Amended applications must specify rule-compliant facilities.  </w:t>
      </w:r>
      <w:r w:rsidRPr="007E2248" w:rsidR="00D44CF5">
        <w:rPr>
          <w:rStyle w:val="documentbody1"/>
          <w:rFonts w:ascii="Times New Roman" w:hAnsi="Times New Roman"/>
          <w:color w:val="000000"/>
          <w:sz w:val="22"/>
          <w:szCs w:val="22"/>
        </w:rPr>
        <w:t>Applicants filing technical amendments should carefully consider all legal, e.g., maintaining eligibility as a “local” applicant,</w:t>
      </w:r>
      <w:r>
        <w:rPr>
          <w:rStyle w:val="FootnoteReference"/>
          <w:color w:val="000000"/>
          <w:szCs w:val="22"/>
        </w:rPr>
        <w:footnoteReference w:id="23"/>
      </w:r>
      <w:r w:rsidRPr="007E2248" w:rsidR="00D44CF5">
        <w:rPr>
          <w:rStyle w:val="documentbody1"/>
          <w:rFonts w:ascii="Times New Roman" w:hAnsi="Times New Roman"/>
          <w:color w:val="000000"/>
          <w:sz w:val="22"/>
          <w:szCs w:val="22"/>
        </w:rPr>
        <w:t xml:space="preserve"> and technical requirements.  </w:t>
      </w:r>
      <w:r w:rsidRPr="008E48BF" w:rsidR="00D44CF5">
        <w:t>A</w:t>
      </w:r>
      <w:r w:rsidRPr="008E48BF" w:rsidR="00917BD2">
        <w:t xml:space="preserve">n amendment that </w:t>
      </w:r>
      <w:r w:rsidRPr="008E48BF" w:rsidR="00D44CF5">
        <w:t>create</w:t>
      </w:r>
      <w:r w:rsidRPr="008E48BF" w:rsidR="00917BD2">
        <w:t>s</w:t>
      </w:r>
      <w:r w:rsidRPr="008E48BF" w:rsidR="00D44CF5">
        <w:t xml:space="preserve"> any new application conflicts, or that worsen</w:t>
      </w:r>
      <w:r w:rsidRPr="008E48BF" w:rsidR="00917BD2">
        <w:t>s</w:t>
      </w:r>
      <w:r w:rsidRPr="008E48BF" w:rsidR="00D44CF5">
        <w:t xml:space="preserve"> any existing conflicts (such as increasing existing overlap), will be d</w:t>
      </w:r>
      <w:r w:rsidRPr="008E48BF" w:rsidR="00917BD2">
        <w:t>enied</w:t>
      </w:r>
      <w:r w:rsidRPr="008E48BF" w:rsidR="00D44CF5">
        <w:t>.</w:t>
      </w:r>
      <w:r w:rsidR="00D44CF5">
        <w:t xml:space="preserve">  </w:t>
      </w:r>
      <w:r w:rsidRPr="007E2248" w:rsidR="00D44CF5">
        <w:rPr>
          <w:rStyle w:val="documentbody1"/>
          <w:rFonts w:ascii="Times New Roman" w:hAnsi="Times New Roman"/>
          <w:color w:val="000000"/>
          <w:sz w:val="22"/>
          <w:szCs w:val="22"/>
        </w:rPr>
        <w:t>Applicants may file technical amendments as part of a settlement agreement or unilaterally.</w:t>
      </w:r>
      <w:r>
        <w:rPr>
          <w:rStyle w:val="documentbody1"/>
          <w:rFonts w:ascii="Times New Roman" w:hAnsi="Times New Roman"/>
          <w:color w:val="000000"/>
          <w:sz w:val="22"/>
          <w:szCs w:val="22"/>
        </w:rPr>
        <w:t xml:space="preserve">  </w:t>
      </w:r>
      <w:r w:rsidRPr="005D6879">
        <w:rPr>
          <w:rStyle w:val="documentbody1"/>
          <w:rFonts w:ascii="Times New Roman" w:hAnsi="Times New Roman"/>
          <w:color w:val="000000"/>
          <w:sz w:val="22"/>
          <w:szCs w:val="22"/>
        </w:rPr>
        <w:t xml:space="preserve">Applicants are encouraged to file technical amendments promptly.  These amendments will be processed under </w:t>
      </w:r>
      <w:r>
        <w:rPr>
          <w:rStyle w:val="documentbody1"/>
          <w:rFonts w:ascii="Times New Roman" w:hAnsi="Times New Roman"/>
          <w:color w:val="000000"/>
          <w:sz w:val="22"/>
          <w:szCs w:val="22"/>
        </w:rPr>
        <w:t xml:space="preserve">a </w:t>
      </w:r>
      <w:r w:rsidRPr="005D6879">
        <w:rPr>
          <w:rStyle w:val="documentbody1"/>
          <w:rFonts w:ascii="Times New Roman" w:hAnsi="Times New Roman"/>
          <w:color w:val="000000"/>
          <w:sz w:val="22"/>
          <w:szCs w:val="22"/>
        </w:rPr>
        <w:t xml:space="preserve">first-come, first-served </w:t>
      </w:r>
      <w:r>
        <w:rPr>
          <w:rStyle w:val="documentbody1"/>
          <w:rFonts w:ascii="Times New Roman" w:hAnsi="Times New Roman"/>
          <w:color w:val="000000"/>
          <w:sz w:val="22"/>
          <w:szCs w:val="22"/>
        </w:rPr>
        <w:t>basis.</w:t>
      </w:r>
      <w:r>
        <w:rPr>
          <w:rStyle w:val="FootnoteReference"/>
          <w:color w:val="000000"/>
          <w:szCs w:val="22"/>
        </w:rPr>
        <w:footnoteReference w:id="24"/>
      </w:r>
    </w:p>
    <w:p w:rsidR="003D1ED3" w:rsidP="00BA088D" w14:paraId="2FA018CD" w14:textId="0AB13C1D">
      <w:pPr>
        <w:ind w:firstLine="720"/>
        <w:rPr>
          <w:b/>
          <w:szCs w:val="22"/>
        </w:rPr>
      </w:pPr>
      <w:r>
        <w:rPr>
          <w:rStyle w:val="documentbody1"/>
          <w:rFonts w:ascii="Times New Roman" w:hAnsi="Times New Roman"/>
          <w:color w:val="000000"/>
          <w:sz w:val="22"/>
          <w:szCs w:val="22"/>
        </w:rPr>
        <w:t xml:space="preserve">  </w:t>
      </w:r>
      <w:r w:rsidRPr="007E2248" w:rsidR="00D44CF5">
        <w:rPr>
          <w:rStyle w:val="documentbody1"/>
          <w:rFonts w:ascii="Times New Roman" w:hAnsi="Times New Roman"/>
          <w:color w:val="000000"/>
          <w:sz w:val="22"/>
          <w:szCs w:val="22"/>
        </w:rPr>
        <w:t xml:space="preserve">  </w:t>
      </w:r>
      <w:r w:rsidRPr="005D6879" w:rsidR="005D6879">
        <w:rPr>
          <w:b/>
          <w:szCs w:val="22"/>
        </w:rPr>
        <w:t xml:space="preserve">  </w:t>
      </w:r>
    </w:p>
    <w:p w:rsidR="003D1ED3" w:rsidP="003D1ED3" w14:paraId="4762D401" w14:textId="6A465966">
      <w:pPr>
        <w:tabs>
          <w:tab w:val="left" w:pos="1"/>
          <w:tab w:val="left" w:pos="720"/>
          <w:tab w:val="left" w:pos="1440"/>
          <w:tab w:val="right" w:pos="9360"/>
        </w:tabs>
        <w:rPr>
          <w:szCs w:val="22"/>
        </w:rPr>
      </w:pPr>
      <w:r>
        <w:rPr>
          <w:i/>
          <w:iCs/>
          <w:szCs w:val="22"/>
        </w:rPr>
        <w:tab/>
      </w:r>
      <w:r>
        <w:rPr>
          <w:i/>
          <w:iCs/>
          <w:szCs w:val="22"/>
        </w:rPr>
        <w:tab/>
        <w:t>Minor Amendments.</w:t>
      </w:r>
      <w:r>
        <w:rPr>
          <w:rStyle w:val="FootnoteReference"/>
          <w:szCs w:val="22"/>
        </w:rPr>
        <w:footnoteReference w:id="25"/>
      </w:r>
      <w:r>
        <w:rPr>
          <w:i/>
          <w:iCs/>
          <w:szCs w:val="22"/>
        </w:rPr>
        <w:t xml:space="preserve">  </w:t>
      </w:r>
      <w:r w:rsidR="00AE0DB8">
        <w:rPr>
          <w:szCs w:val="22"/>
        </w:rPr>
        <w:t>All</w:t>
      </w:r>
      <w:r>
        <w:rPr>
          <w:szCs w:val="22"/>
        </w:rPr>
        <w:t xml:space="preserve"> pending LPFM applicants may </w:t>
      </w:r>
      <w:r w:rsidRPr="003D1ED3">
        <w:rPr>
          <w:i/>
          <w:iCs/>
          <w:szCs w:val="22"/>
        </w:rPr>
        <w:t>only</w:t>
      </w:r>
      <w:r>
        <w:rPr>
          <w:szCs w:val="22"/>
        </w:rPr>
        <w:t xml:space="preserve"> file “minor” amendments, which include: (1) site relocations of 11.2 kilometers or less OR site relocations that involve overlap between the 60 dBu service contours;</w:t>
      </w:r>
      <w:r>
        <w:rPr>
          <w:rStyle w:val="FootnoteReference"/>
          <w:szCs w:val="22"/>
        </w:rPr>
        <w:footnoteReference w:id="26"/>
      </w:r>
      <w:r>
        <w:rPr>
          <w:szCs w:val="22"/>
        </w:rPr>
        <w:t xml:space="preserve"> (2)  channel changes of no more than +/- three channels or to an intermediate frequency (+/- 53 or 54) channel; (3) changes in general or legal information; and (4) changes in ownership where the original parties retain more than 50 percent ownership in the application as originally filed, and changes in ownership where the original parties retain 50 percent or less ownership, provided the change is gradual and/or there is no evidence of a takeover concern or significant effect on the organization’s mission.</w:t>
      </w:r>
      <w:r>
        <w:rPr>
          <w:rStyle w:val="FootnoteReference"/>
          <w:szCs w:val="22"/>
        </w:rPr>
        <w:footnoteReference w:id="27"/>
      </w:r>
      <w:r>
        <w:rPr>
          <w:szCs w:val="22"/>
        </w:rPr>
        <w:t xml:space="preserve">  </w:t>
      </w:r>
    </w:p>
    <w:p w:rsidR="003D1ED3" w:rsidP="003D1ED3" w14:paraId="356C0ACC" w14:textId="77777777">
      <w:pPr>
        <w:rPr>
          <w:szCs w:val="22"/>
        </w:rPr>
      </w:pPr>
    </w:p>
    <w:p w:rsidR="003D1ED3" w:rsidRPr="007E2248" w:rsidP="003D1ED3" w14:paraId="0CE7052F" w14:textId="77777777">
      <w:pPr>
        <w:rPr>
          <w:szCs w:val="22"/>
        </w:rPr>
      </w:pPr>
      <w:r>
        <w:rPr>
          <w:szCs w:val="22"/>
        </w:rPr>
        <w:tab/>
      </w:r>
      <w:r w:rsidRPr="005C666C">
        <w:rPr>
          <w:rStyle w:val="documentbody1"/>
          <w:rFonts w:ascii="Times New Roman" w:hAnsi="Times New Roman"/>
          <w:i/>
          <w:iCs/>
          <w:color w:val="000000"/>
          <w:sz w:val="22"/>
          <w:szCs w:val="22"/>
        </w:rPr>
        <w:t xml:space="preserve">Coordinated </w:t>
      </w:r>
      <w:r>
        <w:rPr>
          <w:rStyle w:val="documentbody1"/>
          <w:rFonts w:ascii="Times New Roman" w:hAnsi="Times New Roman"/>
          <w:i/>
          <w:iCs/>
          <w:color w:val="000000"/>
          <w:sz w:val="22"/>
          <w:szCs w:val="22"/>
        </w:rPr>
        <w:t xml:space="preserve">and Unilateral </w:t>
      </w:r>
      <w:r w:rsidRPr="005C666C">
        <w:rPr>
          <w:rStyle w:val="documentbody1"/>
          <w:rFonts w:ascii="Times New Roman" w:hAnsi="Times New Roman"/>
          <w:i/>
          <w:iCs/>
          <w:color w:val="000000"/>
          <w:sz w:val="22"/>
          <w:szCs w:val="22"/>
        </w:rPr>
        <w:t>Technical Amendments.</w:t>
      </w:r>
      <w:r w:rsidRPr="007E2248">
        <w:rPr>
          <w:rStyle w:val="documentbody1"/>
          <w:rFonts w:ascii="Times New Roman" w:hAnsi="Times New Roman"/>
          <w:color w:val="000000"/>
          <w:sz w:val="22"/>
          <w:szCs w:val="22"/>
        </w:rPr>
        <w:t xml:space="preserve">  Applicants filing coordinated technical amendments as part of a settlement agreement must cross-reference all such filings in each amendment.  </w:t>
      </w:r>
      <w:r>
        <w:rPr>
          <w:rStyle w:val="documentbody1"/>
          <w:rFonts w:ascii="Times New Roman" w:hAnsi="Times New Roman"/>
          <w:color w:val="000000"/>
          <w:sz w:val="22"/>
          <w:szCs w:val="22"/>
        </w:rPr>
        <w:t>A</w:t>
      </w:r>
      <w:r w:rsidRPr="007E2248">
        <w:rPr>
          <w:rStyle w:val="documentbody1"/>
          <w:rFonts w:ascii="Times New Roman" w:hAnsi="Times New Roman"/>
          <w:color w:val="000000"/>
          <w:sz w:val="22"/>
          <w:szCs w:val="22"/>
        </w:rPr>
        <w:t>n a</w:t>
      </w:r>
      <w:r w:rsidRPr="007E2248">
        <w:rPr>
          <w:color w:val="000000"/>
          <w:szCs w:val="22"/>
        </w:rPr>
        <w:t>pplicant that unilaterally files an engineering amendment to procure the removal of conflicts with other applications, without having entered into a settlement agreement with any other applicant, must nevertheless submit an affidavit stating whether consideration has been promised to or received by such applicant in connection with its engineering amendment.</w:t>
      </w:r>
      <w:r>
        <w:rPr>
          <w:rStyle w:val="FootnoteReference"/>
          <w:color w:val="000000"/>
          <w:szCs w:val="22"/>
        </w:rPr>
        <w:footnoteReference w:id="28"/>
      </w:r>
    </w:p>
    <w:p w:rsidR="003D1ED3" w:rsidP="00C74CE4" w14:paraId="6D1B323A" w14:textId="77777777">
      <w:pPr>
        <w:ind w:firstLine="720"/>
        <w:rPr>
          <w:b/>
          <w:szCs w:val="22"/>
        </w:rPr>
      </w:pPr>
    </w:p>
    <w:p w:rsidR="00AE0DB8" w:rsidRPr="005C666C" w:rsidP="00AE0DB8" w14:paraId="52CA21B8" w14:textId="6F63E38C">
      <w:pPr>
        <w:tabs>
          <w:tab w:val="left" w:pos="1"/>
          <w:tab w:val="left" w:pos="720"/>
          <w:tab w:val="left" w:pos="1440"/>
          <w:tab w:val="right" w:pos="9360"/>
        </w:tabs>
        <w:rPr>
          <w:rStyle w:val="documentbody1"/>
          <w:rFonts w:ascii="Times New Roman" w:hAnsi="Times New Roman"/>
          <w:sz w:val="22"/>
          <w:szCs w:val="22"/>
        </w:rPr>
      </w:pPr>
      <w:r>
        <w:rPr>
          <w:i/>
          <w:iCs/>
          <w:szCs w:val="22"/>
        </w:rPr>
        <w:tab/>
      </w:r>
      <w:r>
        <w:rPr>
          <w:i/>
          <w:iCs/>
          <w:szCs w:val="22"/>
        </w:rPr>
        <w:tab/>
      </w:r>
      <w:r w:rsidRPr="005C666C">
        <w:rPr>
          <w:i/>
          <w:iCs/>
          <w:szCs w:val="22"/>
        </w:rPr>
        <w:t>Prohibited Amendments.</w:t>
      </w:r>
      <w:r>
        <w:rPr>
          <w:szCs w:val="22"/>
        </w:rPr>
        <w:t xml:space="preserve">  Applicants </w:t>
      </w:r>
      <w:r w:rsidRPr="00C96CB6">
        <w:rPr>
          <w:bCs/>
          <w:i/>
          <w:iCs/>
          <w:szCs w:val="22"/>
        </w:rPr>
        <w:t>may not</w:t>
      </w:r>
      <w:r>
        <w:rPr>
          <w:szCs w:val="22"/>
        </w:rPr>
        <w:t xml:space="preserve"> amend their applications to increase their comparative point total and </w:t>
      </w:r>
      <w:r w:rsidRPr="00C96CB6">
        <w:rPr>
          <w:bCs/>
          <w:i/>
          <w:iCs/>
          <w:szCs w:val="22"/>
        </w:rPr>
        <w:t>may not</w:t>
      </w:r>
      <w:r>
        <w:rPr>
          <w:szCs w:val="22"/>
        </w:rPr>
        <w:t xml:space="preserve"> amend their applications to come into compliance with the minimum separation requirements provided in section 73.807 of the Commission’s rules.</w:t>
      </w:r>
      <w:r>
        <w:rPr>
          <w:rStyle w:val="FootnoteReference"/>
          <w:szCs w:val="22"/>
        </w:rPr>
        <w:footnoteReference w:id="29"/>
      </w:r>
    </w:p>
    <w:p w:rsidR="00AE0DB8" w:rsidP="00C74CE4" w14:paraId="1C6B1325" w14:textId="77777777">
      <w:pPr>
        <w:ind w:firstLine="720"/>
        <w:rPr>
          <w:b/>
          <w:szCs w:val="22"/>
        </w:rPr>
      </w:pPr>
    </w:p>
    <w:p w:rsidR="00AE0DB8" w:rsidP="00C74CE4" w14:paraId="0FB6C3B4" w14:textId="23E4D834">
      <w:pPr>
        <w:ind w:firstLine="720"/>
        <w:rPr>
          <w:b/>
          <w:szCs w:val="22"/>
        </w:rPr>
      </w:pPr>
      <w:r>
        <w:rPr>
          <w:szCs w:val="22"/>
        </w:rPr>
        <w:t>Major amendments, such as non-adjacent channel changes and otherwise prohibited site relocations of greater than 11.2 kilometers that do not overlap 60 dBu contours (comparing the amended facilities to the prior proposed facilities), are prohibited at this time.</w:t>
      </w:r>
      <w:r>
        <w:rPr>
          <w:rStyle w:val="FootnoteReference"/>
          <w:szCs w:val="22"/>
        </w:rPr>
        <w:footnoteReference w:id="30"/>
      </w:r>
    </w:p>
    <w:p w:rsidR="005D6879" w:rsidRPr="005D6879" w:rsidP="005D6879" w14:paraId="49BFB514" w14:textId="0C8277CB">
      <w:pPr>
        <w:rPr>
          <w:szCs w:val="22"/>
        </w:rPr>
      </w:pPr>
      <w:bookmarkStart w:id="6" w:name="73.3564e"/>
      <w:bookmarkEnd w:id="6"/>
    </w:p>
    <w:p w:rsidR="006134A2" w:rsidP="00B83C99" w14:paraId="08F5FFEB" w14:textId="1E66BBD1">
      <w:pPr>
        <w:ind w:firstLine="720"/>
        <w:rPr>
          <w:bCs/>
          <w:szCs w:val="22"/>
        </w:rPr>
      </w:pPr>
      <w:r w:rsidRPr="005D6879">
        <w:rPr>
          <w:rStyle w:val="Strong"/>
          <w:color w:val="000000"/>
          <w:szCs w:val="22"/>
        </w:rPr>
        <w:t>Filing Procedures.</w:t>
      </w:r>
      <w:r w:rsidRPr="005D6879">
        <w:rPr>
          <w:rStyle w:val="documentbody1"/>
          <w:rFonts w:ascii="Times New Roman" w:hAnsi="Times New Roman"/>
          <w:color w:val="000000"/>
          <w:sz w:val="22"/>
          <w:szCs w:val="22"/>
        </w:rPr>
        <w:t xml:space="preserve">  Joint requests for approval of a settlement</w:t>
      </w:r>
      <w:r w:rsidR="00DE2C8A">
        <w:rPr>
          <w:rStyle w:val="documentbody1"/>
          <w:rFonts w:ascii="Times New Roman" w:hAnsi="Times New Roman"/>
          <w:color w:val="000000"/>
          <w:sz w:val="22"/>
          <w:szCs w:val="22"/>
        </w:rPr>
        <w:t>, and the above-referenced documents required by section 73.3525 of the rules</w:t>
      </w:r>
      <w:r w:rsidR="00303AFA">
        <w:rPr>
          <w:rStyle w:val="documentbody1"/>
          <w:rFonts w:ascii="Times New Roman" w:hAnsi="Times New Roman"/>
          <w:color w:val="000000"/>
          <w:sz w:val="22"/>
          <w:szCs w:val="22"/>
        </w:rPr>
        <w:t xml:space="preserve"> (the Settlement Package)</w:t>
      </w:r>
      <w:r w:rsidR="002A1544">
        <w:rPr>
          <w:rStyle w:val="documentbody1"/>
          <w:rFonts w:ascii="Times New Roman" w:hAnsi="Times New Roman"/>
          <w:color w:val="000000"/>
          <w:sz w:val="22"/>
          <w:szCs w:val="22"/>
        </w:rPr>
        <w:t>,</w:t>
      </w:r>
      <w:r w:rsidR="00DE2C8A">
        <w:rPr>
          <w:rStyle w:val="documentbody1"/>
          <w:rFonts w:ascii="Times New Roman" w:hAnsi="Times New Roman"/>
          <w:color w:val="000000"/>
          <w:sz w:val="22"/>
          <w:szCs w:val="22"/>
        </w:rPr>
        <w:t xml:space="preserve"> must be submitted in the form of an amendment to </w:t>
      </w:r>
      <w:r w:rsidR="00303AFA">
        <w:rPr>
          <w:rStyle w:val="documentbody1"/>
          <w:rFonts w:ascii="Times New Roman" w:hAnsi="Times New Roman"/>
          <w:color w:val="000000"/>
          <w:sz w:val="22"/>
          <w:szCs w:val="22"/>
        </w:rPr>
        <w:t xml:space="preserve">one </w:t>
      </w:r>
      <w:r w:rsidR="005418CE">
        <w:rPr>
          <w:rStyle w:val="documentbody1"/>
          <w:rFonts w:ascii="Times New Roman" w:hAnsi="Times New Roman"/>
          <w:color w:val="000000"/>
          <w:sz w:val="22"/>
          <w:szCs w:val="22"/>
        </w:rPr>
        <w:t xml:space="preserve">(or more) </w:t>
      </w:r>
      <w:r w:rsidR="00303AFA">
        <w:rPr>
          <w:rStyle w:val="documentbody1"/>
          <w:rFonts w:ascii="Times New Roman" w:hAnsi="Times New Roman"/>
          <w:color w:val="000000"/>
          <w:sz w:val="22"/>
          <w:szCs w:val="22"/>
        </w:rPr>
        <w:t xml:space="preserve">of </w:t>
      </w:r>
      <w:r w:rsidR="00DE2C8A">
        <w:rPr>
          <w:rStyle w:val="documentbody1"/>
          <w:rFonts w:ascii="Times New Roman" w:hAnsi="Times New Roman"/>
          <w:color w:val="000000"/>
          <w:sz w:val="22"/>
          <w:szCs w:val="22"/>
        </w:rPr>
        <w:t xml:space="preserve">the </w:t>
      </w:r>
      <w:r w:rsidR="00CE25A2">
        <w:rPr>
          <w:rStyle w:val="documentbody1"/>
          <w:rFonts w:ascii="Times New Roman" w:hAnsi="Times New Roman"/>
          <w:color w:val="000000"/>
          <w:sz w:val="22"/>
          <w:szCs w:val="22"/>
        </w:rPr>
        <w:t xml:space="preserve">applicants’ pending </w:t>
      </w:r>
      <w:r w:rsidRPr="00613EED" w:rsidR="00CE25A2">
        <w:rPr>
          <w:bCs/>
          <w:szCs w:val="22"/>
        </w:rPr>
        <w:t>Schedule 3</w:t>
      </w:r>
      <w:r w:rsidR="00CD6BBD">
        <w:rPr>
          <w:bCs/>
          <w:szCs w:val="22"/>
        </w:rPr>
        <w:t>18</w:t>
      </w:r>
      <w:r w:rsidRPr="00613EED" w:rsidR="00CE25A2">
        <w:rPr>
          <w:szCs w:val="22"/>
          <w:shd w:val="clear" w:color="auto" w:fill="FFFFFF"/>
        </w:rPr>
        <w:t xml:space="preserve"> </w:t>
      </w:r>
      <w:r w:rsidR="00250C33">
        <w:rPr>
          <w:szCs w:val="22"/>
          <w:shd w:val="clear" w:color="auto" w:fill="FFFFFF"/>
        </w:rPr>
        <w:t>LPFM Application</w:t>
      </w:r>
      <w:r w:rsidRPr="00613EED" w:rsidR="00CE25A2">
        <w:rPr>
          <w:szCs w:val="22"/>
          <w:shd w:val="clear" w:color="auto" w:fill="FFFFFF"/>
        </w:rPr>
        <w:t xml:space="preserve"> </w:t>
      </w:r>
      <w:r w:rsidRPr="00613EED" w:rsidR="00CE25A2">
        <w:rPr>
          <w:bCs/>
          <w:szCs w:val="22"/>
        </w:rPr>
        <w:t xml:space="preserve">in the </w:t>
      </w:r>
      <w:r w:rsidR="00CE25A2">
        <w:rPr>
          <w:bCs/>
          <w:szCs w:val="22"/>
        </w:rPr>
        <w:t xml:space="preserve">Bureau’s </w:t>
      </w:r>
      <w:r w:rsidRPr="00613EED" w:rsidR="00CE25A2">
        <w:rPr>
          <w:bCs/>
          <w:szCs w:val="22"/>
        </w:rPr>
        <w:t>Licensing and Management System (LMS)</w:t>
      </w:r>
      <w:r w:rsidR="00CE25A2">
        <w:rPr>
          <w:bCs/>
          <w:szCs w:val="22"/>
        </w:rPr>
        <w:t>.</w:t>
      </w:r>
      <w:r w:rsidR="005E418A">
        <w:rPr>
          <w:bCs/>
          <w:szCs w:val="22"/>
        </w:rPr>
        <w:t xml:space="preserve">  </w:t>
      </w:r>
      <w:r w:rsidR="00303AFA">
        <w:rPr>
          <w:bCs/>
          <w:szCs w:val="22"/>
        </w:rPr>
        <w:t xml:space="preserve">Specifically, </w:t>
      </w:r>
      <w:r w:rsidR="0072371C">
        <w:rPr>
          <w:bCs/>
          <w:szCs w:val="22"/>
        </w:rPr>
        <w:t xml:space="preserve">the Settlement Package </w:t>
      </w:r>
      <w:r w:rsidR="003A0815">
        <w:rPr>
          <w:bCs/>
          <w:szCs w:val="22"/>
        </w:rPr>
        <w:t xml:space="preserve">should be filed by </w:t>
      </w:r>
      <w:r w:rsidR="00A16D1B">
        <w:rPr>
          <w:bCs/>
          <w:szCs w:val="22"/>
        </w:rPr>
        <w:t>the</w:t>
      </w:r>
      <w:r w:rsidR="003A0815">
        <w:rPr>
          <w:bCs/>
          <w:szCs w:val="22"/>
        </w:rPr>
        <w:t xml:space="preserve"> applicant</w:t>
      </w:r>
      <w:r w:rsidR="00A16D1B">
        <w:rPr>
          <w:bCs/>
          <w:szCs w:val="22"/>
        </w:rPr>
        <w:t xml:space="preserve">(s) whose application will survive/continue to be </w:t>
      </w:r>
      <w:r w:rsidR="003A0815">
        <w:rPr>
          <w:bCs/>
          <w:szCs w:val="22"/>
        </w:rPr>
        <w:t xml:space="preserve"> </w:t>
      </w:r>
      <w:r w:rsidR="00A16D1B">
        <w:rPr>
          <w:bCs/>
          <w:szCs w:val="22"/>
        </w:rPr>
        <w:t>processed, pursuant to terms of the settlement agreement.</w:t>
      </w:r>
      <w:r>
        <w:rPr>
          <w:rStyle w:val="FootnoteReference"/>
          <w:bCs/>
          <w:szCs w:val="22"/>
        </w:rPr>
        <w:footnoteReference w:id="31"/>
      </w:r>
      <w:r w:rsidR="00A16D1B">
        <w:rPr>
          <w:bCs/>
          <w:szCs w:val="22"/>
        </w:rPr>
        <w:t xml:space="preserve">  </w:t>
      </w:r>
      <w:r w:rsidR="0072371C">
        <w:rPr>
          <w:bCs/>
          <w:szCs w:val="22"/>
        </w:rPr>
        <w:t>The designated applicant</w:t>
      </w:r>
      <w:r w:rsidR="00A16D1B">
        <w:rPr>
          <w:bCs/>
          <w:szCs w:val="22"/>
        </w:rPr>
        <w:t>(s)</w:t>
      </w:r>
      <w:r w:rsidR="0072371C">
        <w:rPr>
          <w:bCs/>
          <w:szCs w:val="22"/>
        </w:rPr>
        <w:t xml:space="preserve"> should label the Settlement Package, attached as an amendment to the </w:t>
      </w:r>
      <w:r w:rsidR="0069658C">
        <w:rPr>
          <w:bCs/>
          <w:szCs w:val="22"/>
        </w:rPr>
        <w:t xml:space="preserve">pending </w:t>
      </w:r>
      <w:r w:rsidR="0072371C">
        <w:rPr>
          <w:bCs/>
          <w:szCs w:val="22"/>
        </w:rPr>
        <w:t>Schedule 3</w:t>
      </w:r>
      <w:r w:rsidR="00CD6BBD">
        <w:rPr>
          <w:bCs/>
          <w:szCs w:val="22"/>
        </w:rPr>
        <w:t>18</w:t>
      </w:r>
      <w:r w:rsidR="0072371C">
        <w:rPr>
          <w:bCs/>
          <w:szCs w:val="22"/>
        </w:rPr>
        <w:t>, as “Settlement Agreement”</w:t>
      </w:r>
      <w:r w:rsidR="00195F0C">
        <w:rPr>
          <w:bCs/>
          <w:szCs w:val="22"/>
        </w:rPr>
        <w:t xml:space="preserve"> for easy identification by Bureau staff.</w:t>
      </w:r>
      <w:r>
        <w:rPr>
          <w:bCs/>
          <w:szCs w:val="22"/>
        </w:rPr>
        <w:t xml:space="preserve">  The Settlement Package should include a cover page detailing the following:</w:t>
      </w:r>
    </w:p>
    <w:p w:rsidR="006134A2" w:rsidP="00B83C99" w14:paraId="21D6CB76" w14:textId="77777777">
      <w:pPr>
        <w:ind w:firstLine="720"/>
        <w:rPr>
          <w:bCs/>
          <w:szCs w:val="22"/>
        </w:rPr>
      </w:pPr>
    </w:p>
    <w:p w:rsidR="006134A2" w:rsidP="006134A2" w14:paraId="209CCFAB" w14:textId="2D89E98E">
      <w:pPr>
        <w:pStyle w:val="ListParagraph"/>
        <w:numPr>
          <w:ilvl w:val="0"/>
          <w:numId w:val="22"/>
        </w:numPr>
        <w:rPr>
          <w:bCs/>
          <w:szCs w:val="22"/>
        </w:rPr>
      </w:pPr>
      <w:r>
        <w:rPr>
          <w:bCs/>
          <w:szCs w:val="22"/>
        </w:rPr>
        <w:t xml:space="preserve">The LMS file numbers and Facility Identification Numbers of </w:t>
      </w:r>
      <w:r>
        <w:rPr>
          <w:bCs/>
          <w:i/>
          <w:iCs/>
          <w:szCs w:val="22"/>
        </w:rPr>
        <w:t xml:space="preserve">all </w:t>
      </w:r>
      <w:r>
        <w:rPr>
          <w:bCs/>
          <w:szCs w:val="22"/>
        </w:rPr>
        <w:t>of the other applications that are parties to the particular settlement agreement</w:t>
      </w:r>
      <w:r w:rsidR="00787E73">
        <w:rPr>
          <w:bCs/>
          <w:szCs w:val="22"/>
        </w:rPr>
        <w:t>;</w:t>
      </w:r>
    </w:p>
    <w:p w:rsidR="006134A2" w:rsidP="006134A2" w14:paraId="13FD0A15" w14:textId="1ED1B9D7">
      <w:pPr>
        <w:pStyle w:val="ListParagraph"/>
        <w:numPr>
          <w:ilvl w:val="0"/>
          <w:numId w:val="22"/>
        </w:numPr>
        <w:rPr>
          <w:bCs/>
          <w:szCs w:val="22"/>
        </w:rPr>
      </w:pPr>
      <w:r w:rsidRPr="006134A2">
        <w:rPr>
          <w:bCs/>
          <w:szCs w:val="22"/>
        </w:rPr>
        <w:t xml:space="preserve"> </w:t>
      </w:r>
      <w:r w:rsidR="00AD27E9">
        <w:rPr>
          <w:bCs/>
          <w:szCs w:val="22"/>
        </w:rPr>
        <w:t xml:space="preserve">A brief description of the </w:t>
      </w:r>
      <w:r w:rsidR="003A0815">
        <w:rPr>
          <w:bCs/>
          <w:szCs w:val="22"/>
        </w:rPr>
        <w:t xml:space="preserve">basic </w:t>
      </w:r>
      <w:r w:rsidR="00AD27E9">
        <w:rPr>
          <w:bCs/>
          <w:szCs w:val="22"/>
        </w:rPr>
        <w:t xml:space="preserve">terms of the </w:t>
      </w:r>
      <w:r w:rsidR="00195F0C">
        <w:rPr>
          <w:bCs/>
          <w:szCs w:val="22"/>
        </w:rPr>
        <w:t>settlement agreement</w:t>
      </w:r>
      <w:r w:rsidR="003A0815">
        <w:rPr>
          <w:bCs/>
          <w:szCs w:val="22"/>
        </w:rPr>
        <w:t xml:space="preserve"> (referencing any applications that are being dismissed or technically amended and </w:t>
      </w:r>
      <w:r w:rsidR="00787E73">
        <w:rPr>
          <w:bCs/>
          <w:szCs w:val="22"/>
        </w:rPr>
        <w:t>the</w:t>
      </w:r>
      <w:r w:rsidR="003A0815">
        <w:rPr>
          <w:bCs/>
          <w:szCs w:val="22"/>
        </w:rPr>
        <w:t xml:space="preserve"> application(s)</w:t>
      </w:r>
      <w:r w:rsidR="00787E73">
        <w:rPr>
          <w:bCs/>
          <w:szCs w:val="22"/>
        </w:rPr>
        <w:t xml:space="preserve"> which</w:t>
      </w:r>
      <w:r w:rsidR="003A0815">
        <w:rPr>
          <w:bCs/>
          <w:szCs w:val="22"/>
        </w:rPr>
        <w:t xml:space="preserve"> will </w:t>
      </w:r>
      <w:r w:rsidR="00787E73">
        <w:rPr>
          <w:bCs/>
          <w:szCs w:val="22"/>
        </w:rPr>
        <w:t xml:space="preserve">survive and </w:t>
      </w:r>
      <w:r w:rsidR="003A0815">
        <w:rPr>
          <w:bCs/>
          <w:szCs w:val="22"/>
        </w:rPr>
        <w:t xml:space="preserve">continue to </w:t>
      </w:r>
      <w:r w:rsidR="00787E73">
        <w:rPr>
          <w:bCs/>
          <w:szCs w:val="22"/>
        </w:rPr>
        <w:t>be processed);</w:t>
      </w:r>
      <w:r w:rsidR="003A0815">
        <w:rPr>
          <w:bCs/>
          <w:szCs w:val="22"/>
        </w:rPr>
        <w:t xml:space="preserve"> </w:t>
      </w:r>
      <w:r w:rsidR="00195F0C">
        <w:rPr>
          <w:bCs/>
          <w:szCs w:val="22"/>
        </w:rPr>
        <w:t xml:space="preserve"> </w:t>
      </w:r>
    </w:p>
    <w:p w:rsidR="000E7421" w:rsidRPr="006134A2" w:rsidP="00833B2A" w14:paraId="16F8E10A" w14:textId="6CA19BFA">
      <w:pPr>
        <w:pStyle w:val="ListParagraph"/>
        <w:numPr>
          <w:ilvl w:val="0"/>
          <w:numId w:val="22"/>
        </w:numPr>
        <w:rPr>
          <w:bCs/>
          <w:szCs w:val="22"/>
        </w:rPr>
      </w:pPr>
      <w:r w:rsidRPr="006134A2">
        <w:rPr>
          <w:bCs/>
          <w:szCs w:val="22"/>
        </w:rPr>
        <w:t xml:space="preserve"> </w:t>
      </w:r>
      <w:r w:rsidR="006134A2">
        <w:rPr>
          <w:bCs/>
          <w:szCs w:val="22"/>
        </w:rPr>
        <w:t>R</w:t>
      </w:r>
      <w:r w:rsidRPr="006134A2" w:rsidR="00CE25A2">
        <w:rPr>
          <w:bCs/>
          <w:szCs w:val="22"/>
        </w:rPr>
        <w:t>eference</w:t>
      </w:r>
      <w:r w:rsidR="006134A2">
        <w:rPr>
          <w:bCs/>
          <w:szCs w:val="22"/>
        </w:rPr>
        <w:t>s</w:t>
      </w:r>
      <w:r w:rsidRPr="006134A2" w:rsidR="00CE25A2">
        <w:rPr>
          <w:bCs/>
          <w:szCs w:val="22"/>
        </w:rPr>
        <w:t xml:space="preserve"> </w:t>
      </w:r>
      <w:r w:rsidR="006134A2">
        <w:rPr>
          <w:bCs/>
          <w:szCs w:val="22"/>
        </w:rPr>
        <w:t xml:space="preserve">to </w:t>
      </w:r>
      <w:r w:rsidRPr="006134A2" w:rsidR="00CE25A2">
        <w:rPr>
          <w:bCs/>
          <w:szCs w:val="22"/>
        </w:rPr>
        <w:t xml:space="preserve">any </w:t>
      </w:r>
      <w:r w:rsidRPr="006134A2" w:rsidR="009E4850">
        <w:rPr>
          <w:bCs/>
          <w:szCs w:val="22"/>
        </w:rPr>
        <w:t xml:space="preserve">technical </w:t>
      </w:r>
      <w:r w:rsidRPr="006134A2" w:rsidR="00CE25A2">
        <w:rPr>
          <w:bCs/>
          <w:szCs w:val="22"/>
        </w:rPr>
        <w:t xml:space="preserve">application amendments filed in conjunction with the settlement agreement.  </w:t>
      </w:r>
    </w:p>
    <w:p w:rsidR="000E7421" w:rsidP="00B83C99" w14:paraId="35A1022F" w14:textId="77777777">
      <w:pPr>
        <w:ind w:firstLine="720"/>
        <w:rPr>
          <w:bCs/>
          <w:szCs w:val="22"/>
        </w:rPr>
      </w:pPr>
    </w:p>
    <w:p w:rsidR="00DE2C8A" w:rsidP="00B83C99" w14:paraId="43D4056C" w14:textId="547DDA5A">
      <w:pPr>
        <w:ind w:firstLine="720"/>
        <w:rPr>
          <w:rStyle w:val="documentbody1"/>
          <w:rFonts w:ascii="Times New Roman" w:hAnsi="Times New Roman"/>
          <w:color w:val="000000"/>
          <w:sz w:val="22"/>
          <w:szCs w:val="22"/>
        </w:rPr>
      </w:pPr>
      <w:r>
        <w:rPr>
          <w:bCs/>
          <w:szCs w:val="22"/>
        </w:rPr>
        <w:t>Technical</w:t>
      </w:r>
      <w:r w:rsidR="00CE25A2">
        <w:rPr>
          <w:bCs/>
          <w:szCs w:val="22"/>
        </w:rPr>
        <w:t xml:space="preserve"> application amendments must also be filed electronically on Schedule 3</w:t>
      </w:r>
      <w:r w:rsidR="0094275E">
        <w:rPr>
          <w:bCs/>
          <w:szCs w:val="22"/>
        </w:rPr>
        <w:t>18</w:t>
      </w:r>
      <w:r w:rsidR="00CE25A2">
        <w:rPr>
          <w:bCs/>
          <w:szCs w:val="22"/>
        </w:rPr>
        <w:t xml:space="preserve"> through LMS.</w:t>
      </w:r>
      <w:r w:rsidR="002A1544">
        <w:rPr>
          <w:bCs/>
          <w:szCs w:val="22"/>
        </w:rPr>
        <w:t xml:space="preserve">  Paper filed amendments and settlements will </w:t>
      </w:r>
      <w:r w:rsidRPr="00FB06A0" w:rsidR="002A1544">
        <w:rPr>
          <w:bCs/>
          <w:i/>
          <w:iCs/>
          <w:szCs w:val="22"/>
        </w:rPr>
        <w:t>not</w:t>
      </w:r>
      <w:r w:rsidR="002A1544">
        <w:rPr>
          <w:bCs/>
          <w:szCs w:val="22"/>
        </w:rPr>
        <w:t xml:space="preserve"> be considered.  </w:t>
      </w:r>
      <w:r w:rsidR="002A1544">
        <w:rPr>
          <w:rStyle w:val="documentbody1"/>
          <w:rFonts w:ascii="Times New Roman" w:hAnsi="Times New Roman"/>
          <w:color w:val="000000"/>
          <w:sz w:val="22"/>
          <w:szCs w:val="22"/>
        </w:rPr>
        <w:t>A</w:t>
      </w:r>
      <w:r w:rsidRPr="005D6879" w:rsidR="002A1544">
        <w:rPr>
          <w:rStyle w:val="documentbody1"/>
          <w:rFonts w:ascii="Times New Roman" w:hAnsi="Times New Roman"/>
          <w:color w:val="000000"/>
          <w:sz w:val="22"/>
          <w:szCs w:val="22"/>
        </w:rPr>
        <w:t xml:space="preserve">pplicants are encouraged to deliver a courtesy copy of the </w:t>
      </w:r>
      <w:r w:rsidR="005418CE">
        <w:rPr>
          <w:rStyle w:val="documentbody1"/>
          <w:rFonts w:ascii="Times New Roman" w:hAnsi="Times New Roman"/>
          <w:color w:val="000000"/>
          <w:sz w:val="22"/>
          <w:szCs w:val="22"/>
        </w:rPr>
        <w:t>S</w:t>
      </w:r>
      <w:r w:rsidRPr="005D6879" w:rsidR="002A1544">
        <w:rPr>
          <w:rStyle w:val="documentbody1"/>
          <w:rFonts w:ascii="Times New Roman" w:hAnsi="Times New Roman"/>
          <w:color w:val="000000"/>
          <w:sz w:val="22"/>
          <w:szCs w:val="22"/>
        </w:rPr>
        <w:t xml:space="preserve">ettlement </w:t>
      </w:r>
      <w:r w:rsidR="005418CE">
        <w:rPr>
          <w:rStyle w:val="documentbody1"/>
          <w:rFonts w:ascii="Times New Roman" w:hAnsi="Times New Roman"/>
          <w:color w:val="000000"/>
          <w:sz w:val="22"/>
          <w:szCs w:val="22"/>
        </w:rPr>
        <w:t>Package</w:t>
      </w:r>
      <w:r w:rsidRPr="005D6879" w:rsidR="002A1544">
        <w:rPr>
          <w:rStyle w:val="documentbody1"/>
          <w:rFonts w:ascii="Times New Roman" w:hAnsi="Times New Roman"/>
          <w:color w:val="000000"/>
          <w:sz w:val="22"/>
          <w:szCs w:val="22"/>
        </w:rPr>
        <w:t xml:space="preserve"> </w:t>
      </w:r>
      <w:r w:rsidR="002A1544">
        <w:rPr>
          <w:rStyle w:val="documentbody1"/>
          <w:rFonts w:ascii="Times New Roman" w:hAnsi="Times New Roman"/>
          <w:color w:val="000000"/>
          <w:sz w:val="22"/>
          <w:szCs w:val="22"/>
        </w:rPr>
        <w:t>via email to</w:t>
      </w:r>
      <w:r w:rsidR="00E512EC">
        <w:rPr>
          <w:rStyle w:val="documentbody1"/>
          <w:rFonts w:ascii="Times New Roman" w:hAnsi="Times New Roman"/>
          <w:color w:val="000000"/>
          <w:sz w:val="22"/>
          <w:szCs w:val="22"/>
        </w:rPr>
        <w:t xml:space="preserve"> James Bradshaw, </w:t>
      </w:r>
      <w:hyperlink r:id="rId5" w:history="1">
        <w:r w:rsidRPr="00424EA4" w:rsidR="00E512EC">
          <w:rPr>
            <w:rStyle w:val="Hyperlink"/>
            <w:szCs w:val="22"/>
          </w:rPr>
          <w:t>James.Bradshaw@fcc.gov</w:t>
        </w:r>
      </w:hyperlink>
      <w:r w:rsidR="002924FC">
        <w:rPr>
          <w:rStyle w:val="documentbody1"/>
          <w:rFonts w:ascii="Times New Roman" w:hAnsi="Times New Roman"/>
          <w:color w:val="000000"/>
          <w:sz w:val="22"/>
          <w:szCs w:val="22"/>
        </w:rPr>
        <w:t>.</w:t>
      </w:r>
      <w:r w:rsidRPr="005D6879" w:rsidR="002A1544">
        <w:rPr>
          <w:rStyle w:val="documentbody1"/>
          <w:rFonts w:ascii="Times New Roman" w:hAnsi="Times New Roman"/>
          <w:color w:val="000000"/>
          <w:sz w:val="22"/>
          <w:szCs w:val="22"/>
        </w:rPr>
        <w:t xml:space="preserve">   </w:t>
      </w:r>
      <w:r w:rsidR="002A1544">
        <w:rPr>
          <w:bCs/>
          <w:szCs w:val="22"/>
        </w:rPr>
        <w:t xml:space="preserve"> </w:t>
      </w:r>
    </w:p>
    <w:p w:rsidR="00DE2C8A" w:rsidP="00B83C99" w14:paraId="47CD4011" w14:textId="77777777">
      <w:pPr>
        <w:ind w:firstLine="720"/>
        <w:rPr>
          <w:rStyle w:val="documentbody1"/>
          <w:rFonts w:ascii="Times New Roman" w:hAnsi="Times New Roman"/>
          <w:color w:val="000000"/>
          <w:sz w:val="22"/>
          <w:szCs w:val="22"/>
        </w:rPr>
      </w:pPr>
    </w:p>
    <w:p w:rsidR="005D6879" w:rsidP="00CE25A2" w14:paraId="399B299B" w14:textId="24D95201">
      <w:pPr>
        <w:ind w:firstLine="720"/>
        <w:rPr>
          <w:szCs w:val="22"/>
        </w:rPr>
      </w:pPr>
      <w:r w:rsidRPr="00613EED">
        <w:rPr>
          <w:szCs w:val="22"/>
        </w:rPr>
        <w:t xml:space="preserve">For </w:t>
      </w:r>
      <w:r>
        <w:rPr>
          <w:szCs w:val="22"/>
        </w:rPr>
        <w:t xml:space="preserve">assistance </w:t>
      </w:r>
      <w:r w:rsidRPr="00613EED">
        <w:rPr>
          <w:szCs w:val="22"/>
        </w:rPr>
        <w:t xml:space="preserve">logging into LMS or accessing </w:t>
      </w:r>
      <w:r>
        <w:rPr>
          <w:szCs w:val="22"/>
        </w:rPr>
        <w:t xml:space="preserve">the </w:t>
      </w:r>
      <w:r w:rsidRPr="00613EED">
        <w:rPr>
          <w:szCs w:val="22"/>
        </w:rPr>
        <w:t>Schedule 3</w:t>
      </w:r>
      <w:r w:rsidR="00A77FAD">
        <w:rPr>
          <w:szCs w:val="22"/>
        </w:rPr>
        <w:t>18</w:t>
      </w:r>
      <w:r w:rsidRPr="00613EED">
        <w:rPr>
          <w:szCs w:val="22"/>
        </w:rPr>
        <w:t xml:space="preserve">, please contact the Commission at (877) 480-3201 (Option 2), Monday-Friday, 8:00 am-6:00 pm EST, or submit a request online at </w:t>
      </w:r>
      <w:hyperlink r:id="rId6" w:history="1">
        <w:r w:rsidRPr="00613EED">
          <w:rPr>
            <w:rStyle w:val="Hyperlink"/>
            <w:color w:val="auto"/>
            <w:szCs w:val="22"/>
          </w:rPr>
          <w:t>https://www.fccprod.service-now.com/auls?id=esupport</w:t>
        </w:r>
      </w:hyperlink>
      <w:r w:rsidRPr="00613EED">
        <w:rPr>
          <w:szCs w:val="22"/>
        </w:rPr>
        <w:t>.</w:t>
      </w:r>
      <w:r w:rsidRPr="00613EED">
        <w:rPr>
          <w:szCs w:val="22"/>
        </w:rPr>
        <w:tab/>
      </w:r>
    </w:p>
    <w:p w:rsidR="007C1CD6" w:rsidP="00CE25A2" w14:paraId="37A26399" w14:textId="77777777">
      <w:pPr>
        <w:ind w:firstLine="720"/>
        <w:rPr>
          <w:szCs w:val="22"/>
        </w:rPr>
      </w:pPr>
    </w:p>
    <w:p w:rsidR="005D6879" w:rsidRPr="007C1CD6" w:rsidP="007C1CD6" w14:paraId="10980045" w14:textId="53757502">
      <w:pPr>
        <w:ind w:firstLine="720"/>
        <w:rPr>
          <w:szCs w:val="22"/>
        </w:rPr>
      </w:pPr>
      <w:r w:rsidRPr="00EB65AC">
        <w:rPr>
          <w:szCs w:val="22"/>
        </w:rPr>
        <w:t>For additional information</w:t>
      </w:r>
      <w:r>
        <w:rPr>
          <w:szCs w:val="22"/>
        </w:rPr>
        <w:t>,</w:t>
      </w:r>
      <w:r w:rsidRPr="00EB65AC">
        <w:rPr>
          <w:szCs w:val="22"/>
        </w:rPr>
        <w:t xml:space="preserve"> </w:t>
      </w:r>
      <w:r>
        <w:rPr>
          <w:szCs w:val="22"/>
        </w:rPr>
        <w:t xml:space="preserve">please </w:t>
      </w:r>
      <w:r w:rsidRPr="00EB65AC">
        <w:rPr>
          <w:szCs w:val="22"/>
        </w:rPr>
        <w:t>contact</w:t>
      </w:r>
      <w:r>
        <w:rPr>
          <w:szCs w:val="22"/>
        </w:rPr>
        <w:t xml:space="preserve">:  James Bradshaw, </w:t>
      </w:r>
      <w:hyperlink r:id="rId5" w:history="1">
        <w:r w:rsidRPr="00852480">
          <w:rPr>
            <w:rStyle w:val="Hyperlink"/>
            <w:szCs w:val="22"/>
          </w:rPr>
          <w:t>James.Bradshaw@fcc.gov</w:t>
        </w:r>
      </w:hyperlink>
      <w:r>
        <w:rPr>
          <w:szCs w:val="22"/>
        </w:rPr>
        <w:t>;</w:t>
      </w:r>
      <w:r>
        <w:rPr>
          <w:szCs w:val="24"/>
        </w:rPr>
        <w:t xml:space="preserve"> Alexander Sanjenis, </w:t>
      </w:r>
      <w:hyperlink r:id="rId7" w:history="1">
        <w:r w:rsidRPr="00852480">
          <w:rPr>
            <w:rStyle w:val="Hyperlink"/>
            <w:szCs w:val="24"/>
          </w:rPr>
          <w:t>Alexander.Sanjenis@fcc.gov</w:t>
        </w:r>
      </w:hyperlink>
      <w:r>
        <w:rPr>
          <w:szCs w:val="24"/>
        </w:rPr>
        <w:t xml:space="preserve">; Amy Van de Kerckhove, </w:t>
      </w:r>
      <w:hyperlink r:id="rId8" w:history="1">
        <w:r w:rsidRPr="00B87500">
          <w:rPr>
            <w:rStyle w:val="Hyperlink"/>
            <w:szCs w:val="24"/>
          </w:rPr>
          <w:t>Amy.Vandekerckhove@fcc.gov</w:t>
        </w:r>
      </w:hyperlink>
      <w:r>
        <w:rPr>
          <w:szCs w:val="24"/>
        </w:rPr>
        <w:t>; or Lisa Scanlan,</w:t>
      </w:r>
      <w:r w:rsidRPr="00D07C29">
        <w:rPr>
          <w:szCs w:val="24"/>
        </w:rPr>
        <w:t xml:space="preserve"> </w:t>
      </w:r>
      <w:hyperlink r:id="rId9" w:history="1">
        <w:r w:rsidRPr="00B85007">
          <w:rPr>
            <w:rStyle w:val="Hyperlink"/>
            <w:szCs w:val="24"/>
          </w:rPr>
          <w:t>Lisa.Scanlan@fcc.gov</w:t>
        </w:r>
      </w:hyperlink>
      <w:r>
        <w:rPr>
          <w:szCs w:val="24"/>
        </w:rPr>
        <w:t xml:space="preserve"> </w:t>
      </w:r>
      <w:r w:rsidRPr="00D07C29">
        <w:rPr>
          <w:szCs w:val="24"/>
        </w:rPr>
        <w:t xml:space="preserve">of the Media Bureau, Audio Division.  </w:t>
      </w:r>
      <w:bookmarkStart w:id="7" w:name="SR;25135"/>
      <w:bookmarkStart w:id="8" w:name="SR;25145"/>
      <w:bookmarkEnd w:id="7"/>
      <w:bookmarkEnd w:id="8"/>
    </w:p>
    <w:p w:rsidR="005D6879" w:rsidRPr="005D6879" w:rsidP="005D6879" w14:paraId="11159502" w14:textId="77777777">
      <w:pPr>
        <w:rPr>
          <w:szCs w:val="22"/>
        </w:rPr>
      </w:pPr>
    </w:p>
    <w:p w:rsidR="005D6879" w:rsidRPr="009C2A8F" w:rsidP="009C2A8F" w14:paraId="748EAB16" w14:textId="782F54E7">
      <w:pPr>
        <w:jc w:val="center"/>
        <w:rPr>
          <w:b/>
          <w:szCs w:val="22"/>
        </w:rPr>
      </w:pPr>
      <w:r w:rsidRPr="005D6879">
        <w:rPr>
          <w:b/>
          <w:szCs w:val="22"/>
        </w:rPr>
        <w:t>- FCC</w:t>
      </w:r>
      <w:r w:rsidR="000A18EC">
        <w:rPr>
          <w:b/>
          <w:szCs w:val="22"/>
        </w:rPr>
        <w:t xml:space="preserve"> -</w:t>
      </w:r>
      <w:r w:rsidRPr="005D6879">
        <w:rPr>
          <w:b/>
          <w:szCs w:val="22"/>
        </w:rPr>
        <w:t xml:space="preserve"> </w:t>
      </w:r>
    </w:p>
    <w:p w:rsidR="005515FF" w:rsidP="005515FF" w14:paraId="7E6EF26B" w14:textId="77777777">
      <w:pPr>
        <w:jc w:val="center"/>
        <w:outlineLvl w:val="0"/>
        <w:rPr>
          <w:bCs/>
          <w:szCs w:val="22"/>
        </w:rPr>
      </w:pPr>
    </w:p>
    <w:bookmarkEnd w:id="0"/>
    <w:p w:rsidR="00666062" w:rsidRPr="00564D59" w:rsidP="00757307" w14:paraId="22E2A69D" w14:textId="537AFD0E">
      <w:pPr>
        <w:jc w:val="center"/>
        <w:rPr>
          <w:b/>
          <w:szCs w:val="22"/>
        </w:rPr>
      </w:pPr>
    </w:p>
    <w:sectPr w:rsidSect="00530BDD">
      <w:headerReference w:type="default" r:id="rId10"/>
      <w:footerReference w:type="even" r:id="rId11"/>
      <w:footerReference w:type="default" r:id="rId12"/>
      <w:headerReference w:type="first" r:id="rId13"/>
      <w:footerReference w:type="first" r:id="rId14"/>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66062"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66062" w14:paraId="76ACA669" w14:textId="77777777">
    <w:pPr>
      <w:spacing w:before="140" w:line="100" w:lineRule="exact"/>
      <w:rPr>
        <w:sz w:val="10"/>
      </w:rPr>
    </w:pPr>
  </w:p>
  <w:p w:rsidR="00666062" w14:paraId="5878F18B" w14:textId="77777777">
    <w:pPr>
      <w:suppressAutoHyphens/>
      <w:spacing w:line="227" w:lineRule="auto"/>
    </w:pPr>
  </w:p>
  <w:p w:rsidR="00666062"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0BDD" w14:paraId="5EA71CEA" w14:textId="77777777">
      <w:r>
        <w:separator/>
      </w:r>
    </w:p>
  </w:footnote>
  <w:footnote w:type="continuationSeparator" w:id="1">
    <w:p w:rsidR="00530BDD" w14:paraId="2EC1E287" w14:textId="77777777">
      <w:pPr>
        <w:rPr>
          <w:sz w:val="20"/>
        </w:rPr>
      </w:pPr>
      <w:r>
        <w:rPr>
          <w:sz w:val="20"/>
        </w:rPr>
        <w:t xml:space="preserve">(Continued from previous page)  </w:t>
      </w:r>
      <w:r>
        <w:rPr>
          <w:sz w:val="20"/>
        </w:rPr>
        <w:separator/>
      </w:r>
    </w:p>
  </w:footnote>
  <w:footnote w:type="continuationNotice" w:id="2">
    <w:p w:rsidR="00530BDD" w14:paraId="5792C206" w14:textId="77777777">
      <w:pPr>
        <w:rPr>
          <w:sz w:val="20"/>
        </w:rPr>
      </w:pPr>
      <w:r>
        <w:rPr>
          <w:sz w:val="20"/>
        </w:rPr>
        <w:t>(continued….)</w:t>
      </w:r>
    </w:p>
  </w:footnote>
  <w:footnote w:id="3">
    <w:p w:rsidR="007C1CD6" w:rsidRPr="00E21F4D" w:rsidP="007C1CD6" w14:paraId="4ADB7C12" w14:textId="77777777">
      <w:pPr>
        <w:pStyle w:val="FootnoteText"/>
        <w:rPr>
          <w:i/>
          <w:iCs/>
        </w:rPr>
      </w:pPr>
      <w:r>
        <w:rPr>
          <w:rStyle w:val="FootnoteReference"/>
        </w:rPr>
        <w:footnoteRef/>
      </w:r>
      <w:r>
        <w:t xml:space="preserve"> </w:t>
      </w:r>
      <w:r>
        <w:rPr>
          <w:i/>
          <w:iCs/>
        </w:rPr>
        <w:t>Media Bureau Announces Filing Procedures and Requirements for November 1 – November 8, 2023, Low Power FM Filing Window</w:t>
      </w:r>
      <w:r>
        <w:t>, Public Notice, DA 23-642 (MB July 31, 2023) (</w:t>
      </w:r>
      <w:r>
        <w:rPr>
          <w:i/>
          <w:iCs/>
        </w:rPr>
        <w:t>LPFM Procedures Notice</w:t>
      </w:r>
      <w:r>
        <w:t xml:space="preserve">); </w:t>
      </w:r>
      <w:r>
        <w:rPr>
          <w:i/>
          <w:iCs/>
        </w:rPr>
        <w:t xml:space="preserve">Media Bureau Announces Revised Dates for LPFM New Station Application Filing Window; Window Open from December 6, 2023 to December 13, 2023, </w:t>
      </w:r>
      <w:r>
        <w:t>Public Notice, DA 23-984 (MB October 17, 2023).</w:t>
      </w:r>
      <w:r>
        <w:rPr>
          <w:i/>
          <w:iCs/>
        </w:rPr>
        <w:t xml:space="preserve"> </w:t>
      </w:r>
    </w:p>
  </w:footnote>
  <w:footnote w:id="4">
    <w:p w:rsidR="00364F71" w:rsidRPr="007041B6" w:rsidP="00364F71" w14:paraId="09BAA112" w14:textId="77777777">
      <w:pPr>
        <w:pStyle w:val="FootnoteText"/>
      </w:pPr>
      <w:r w:rsidRPr="007041B6">
        <w:rPr>
          <w:rStyle w:val="FootnoteReference"/>
          <w:sz w:val="20"/>
        </w:rPr>
        <w:footnoteRef/>
      </w:r>
      <w:r w:rsidRPr="007041B6">
        <w:t xml:space="preserve"> 47 CFR § 73.807.</w:t>
      </w:r>
    </w:p>
  </w:footnote>
  <w:footnote w:id="5">
    <w:p w:rsidR="00716497" w:rsidRPr="00716497" w:rsidP="00716497" w14:paraId="25617CA1" w14:textId="19AAA939">
      <w:pPr>
        <w:tabs>
          <w:tab w:val="left" w:pos="1"/>
          <w:tab w:val="left" w:pos="720"/>
          <w:tab w:val="left" w:pos="1440"/>
          <w:tab w:val="right" w:pos="9360"/>
        </w:tabs>
        <w:rPr>
          <w:sz w:val="20"/>
        </w:rPr>
      </w:pPr>
      <w:r w:rsidRPr="00716497">
        <w:rPr>
          <w:rStyle w:val="FootnoteReference"/>
          <w:sz w:val="20"/>
        </w:rPr>
        <w:footnoteRef/>
      </w:r>
      <w:r w:rsidRPr="00716497">
        <w:rPr>
          <w:sz w:val="20"/>
        </w:rPr>
        <w:t xml:space="preserve"> The Bureau received 1,336 Schedule 318 LPFM Applications during the December </w:t>
      </w:r>
      <w:r w:rsidR="005A2936">
        <w:rPr>
          <w:sz w:val="20"/>
        </w:rPr>
        <w:t>202</w:t>
      </w:r>
      <w:r w:rsidR="0048613B">
        <w:rPr>
          <w:sz w:val="20"/>
        </w:rPr>
        <w:t>3</w:t>
      </w:r>
      <w:r w:rsidR="005A2936">
        <w:rPr>
          <w:sz w:val="20"/>
        </w:rPr>
        <w:t xml:space="preserve">, </w:t>
      </w:r>
      <w:r w:rsidRPr="00716497">
        <w:rPr>
          <w:sz w:val="20"/>
        </w:rPr>
        <w:t xml:space="preserve">LPFM filing window.  </w:t>
      </w:r>
      <w:r>
        <w:rPr>
          <w:sz w:val="20"/>
        </w:rPr>
        <w:t xml:space="preserve">The </w:t>
      </w:r>
      <w:r w:rsidRPr="00716497">
        <w:rPr>
          <w:sz w:val="20"/>
        </w:rPr>
        <w:t xml:space="preserve">Bureau </w:t>
      </w:r>
      <w:r>
        <w:rPr>
          <w:sz w:val="20"/>
        </w:rPr>
        <w:t>previously</w:t>
      </w:r>
      <w:r w:rsidRPr="00716497">
        <w:rPr>
          <w:sz w:val="20"/>
        </w:rPr>
        <w:t xml:space="preserve"> identified over </w:t>
      </w:r>
      <w:r w:rsidR="008E48BF">
        <w:rPr>
          <w:sz w:val="20"/>
        </w:rPr>
        <w:t>730</w:t>
      </w:r>
      <w:r w:rsidRPr="00716497" w:rsidR="005D6A47">
        <w:rPr>
          <w:sz w:val="20"/>
        </w:rPr>
        <w:t xml:space="preserve"> </w:t>
      </w:r>
      <w:r w:rsidRPr="00716497">
        <w:rPr>
          <w:sz w:val="20"/>
        </w:rPr>
        <w:t>technically acceptable LPFM Applications</w:t>
      </w:r>
      <w:r w:rsidR="005A2936">
        <w:rPr>
          <w:sz w:val="20"/>
        </w:rPr>
        <w:t>,</w:t>
      </w:r>
      <w:r w:rsidRPr="00716497">
        <w:rPr>
          <w:sz w:val="20"/>
        </w:rPr>
        <w:t xml:space="preserve"> which are not in conflict with any other application, </w:t>
      </w:r>
      <w:r w:rsidRPr="00716497">
        <w:rPr>
          <w:i/>
          <w:sz w:val="20"/>
        </w:rPr>
        <w:t>i.e.</w:t>
      </w:r>
      <w:r w:rsidRPr="00716497">
        <w:rPr>
          <w:sz w:val="20"/>
        </w:rPr>
        <w:t>, singleton applications</w:t>
      </w:r>
      <w:r>
        <w:rPr>
          <w:sz w:val="20"/>
        </w:rPr>
        <w:t>, and</w:t>
      </w:r>
      <w:r w:rsidRPr="00716497">
        <w:rPr>
          <w:sz w:val="20"/>
        </w:rPr>
        <w:t xml:space="preserve"> put these applications on Public Notice announcing them as “accepted for filing.”  </w:t>
      </w:r>
    </w:p>
    <w:p w:rsidR="00716497" w14:paraId="0F6E160C" w14:textId="27F6DFF7">
      <w:pPr>
        <w:pStyle w:val="FootnoteText"/>
      </w:pPr>
      <w:r>
        <w:rPr>
          <w:szCs w:val="22"/>
        </w:rPr>
        <w:t xml:space="preserve">  </w:t>
      </w:r>
    </w:p>
  </w:footnote>
  <w:footnote w:id="6">
    <w:p w:rsidR="003E1F37" w:rsidRPr="00D27C78" w:rsidP="003E1F37" w14:paraId="4424A82D" w14:textId="4A34A19D">
      <w:pPr>
        <w:tabs>
          <w:tab w:val="left" w:pos="1"/>
          <w:tab w:val="left" w:pos="720"/>
          <w:tab w:val="left" w:pos="1440"/>
          <w:tab w:val="right" w:pos="9360"/>
        </w:tabs>
        <w:rPr>
          <w:sz w:val="20"/>
        </w:rPr>
      </w:pPr>
      <w:r w:rsidRPr="00D27C78">
        <w:rPr>
          <w:rStyle w:val="FootnoteReference"/>
          <w:sz w:val="20"/>
        </w:rPr>
        <w:footnoteRef/>
      </w:r>
      <w:r w:rsidRPr="00D27C78">
        <w:rPr>
          <w:sz w:val="20"/>
        </w:rPr>
        <w:t xml:space="preserve"> </w:t>
      </w:r>
      <w:r w:rsidR="000C42F4">
        <w:rPr>
          <w:sz w:val="20"/>
        </w:rPr>
        <w:t>In general, a</w:t>
      </w:r>
      <w:r w:rsidRPr="00D27C78">
        <w:rPr>
          <w:sz w:val="20"/>
        </w:rPr>
        <w:t xml:space="preserve">n LPFM applicant whose application is dismissed will have one opportunity to file a minor curative amendment to its application and a petition for reconsideration, requesting reinstatement of the application </w:t>
      </w:r>
      <w:r w:rsidRPr="00D27C78">
        <w:rPr>
          <w:i/>
          <w:iCs/>
          <w:sz w:val="20"/>
        </w:rPr>
        <w:t>nun pro tunc</w:t>
      </w:r>
      <w:r w:rsidR="00F314C2">
        <w:rPr>
          <w:i/>
          <w:iCs/>
          <w:sz w:val="20"/>
        </w:rPr>
        <w:t xml:space="preserve">, </w:t>
      </w:r>
      <w:r w:rsidR="00F314C2">
        <w:rPr>
          <w:sz w:val="20"/>
        </w:rPr>
        <w:t>within</w:t>
      </w:r>
      <w:r w:rsidRPr="00D27C78">
        <w:rPr>
          <w:sz w:val="20"/>
        </w:rPr>
        <w:t xml:space="preserve"> 30 days of the dismissal. </w:t>
      </w:r>
    </w:p>
    <w:p w:rsidR="003E1F37" w:rsidRPr="005A2684" w:rsidP="003E1F37" w14:paraId="4D54977F" w14:textId="77777777">
      <w:pPr>
        <w:widowControl/>
        <w:autoSpaceDE w:val="0"/>
        <w:autoSpaceDN w:val="0"/>
        <w:adjustRightInd w:val="0"/>
        <w:rPr>
          <w:rFonts w:ascii="TimesNewRoman" w:hAnsi="TimesNewRoman" w:cs="TimesNewRoman"/>
          <w:snapToGrid/>
          <w:kern w:val="0"/>
          <w:sz w:val="20"/>
        </w:rPr>
      </w:pPr>
    </w:p>
  </w:footnote>
  <w:footnote w:id="7">
    <w:p w:rsidR="00A62A23" w:rsidRPr="00A62A23" w14:paraId="5C11B0FA" w14:textId="55E8B6E1">
      <w:pPr>
        <w:pStyle w:val="FootnoteText"/>
      </w:pPr>
      <w:r>
        <w:rPr>
          <w:rStyle w:val="FootnoteReference"/>
        </w:rPr>
        <w:footnoteRef/>
      </w:r>
      <w:r>
        <w:t xml:space="preserve"> </w:t>
      </w:r>
      <w:r>
        <w:rPr>
          <w:i/>
          <w:iCs/>
        </w:rPr>
        <w:t xml:space="preserve">See </w:t>
      </w:r>
      <w:r>
        <w:t>File Nos.</w:t>
      </w:r>
      <w:r w:rsidR="009D6289">
        <w:t xml:space="preserve"> 0000</w:t>
      </w:r>
      <w:r w:rsidR="00E82CA2">
        <w:t>231418</w:t>
      </w:r>
      <w:r w:rsidR="009D6289">
        <w:t xml:space="preserve"> and 0000</w:t>
      </w:r>
      <w:r w:rsidR="00E82CA2">
        <w:t>232190.</w:t>
      </w:r>
      <w:r>
        <w:t xml:space="preserve"> </w:t>
      </w:r>
    </w:p>
  </w:footnote>
  <w:footnote w:id="8">
    <w:p w:rsidR="000C6AA7" w14:paraId="78937FA7" w14:textId="3B0B2805">
      <w:pPr>
        <w:pStyle w:val="FootnoteText"/>
      </w:pPr>
      <w:r>
        <w:rPr>
          <w:rStyle w:val="FootnoteReference"/>
        </w:rPr>
        <w:footnoteRef/>
      </w:r>
      <w:r>
        <w:t xml:space="preserve"> </w:t>
      </w:r>
      <w:r w:rsidR="00382EC4">
        <w:t>O</w:t>
      </w:r>
      <w:r>
        <w:t xml:space="preserve">n February </w:t>
      </w:r>
      <w:r w:rsidR="00D01819">
        <w:t>23, 2024, the Bureau dismissed</w:t>
      </w:r>
      <w:r w:rsidR="00382EC4">
        <w:t xml:space="preserve"> </w:t>
      </w:r>
      <w:r w:rsidR="007037C8">
        <w:t xml:space="preserve">203 </w:t>
      </w:r>
      <w:r w:rsidR="00382EC4">
        <w:t xml:space="preserve">LPFM </w:t>
      </w:r>
      <w:r w:rsidR="00BF0AF0">
        <w:t>A</w:t>
      </w:r>
      <w:r w:rsidR="00382EC4">
        <w:t>pplications</w:t>
      </w:r>
      <w:r w:rsidR="00D01819">
        <w:t>,</w:t>
      </w:r>
      <w:r w:rsidR="00382EC4">
        <w:t xml:space="preserve"> filed by Weather Alert Radio Network (WARN), for failure to demonstrate that WARN is a public safety radio service eligible to hold an LPFM authorization.  </w:t>
      </w:r>
      <w:r w:rsidR="00382EC4">
        <w:rPr>
          <w:i/>
          <w:iCs/>
        </w:rPr>
        <w:t>See Weather Alert Radio Network, Applications for Construction Permits for New Low Power FM Stations in Communities in Alabama, Florida, Georgia, Louisiana, Mississippi, North Carolina, South Carolina, Texas, Virginia, and the Virgin Islands</w:t>
      </w:r>
      <w:r w:rsidR="00382EC4">
        <w:t>, Letter, DA 24-164 (MB Feb. 23, 2024).</w:t>
      </w:r>
      <w:r w:rsidR="00D01819">
        <w:t xml:space="preserve"> </w:t>
      </w:r>
      <w:r w:rsidR="00382EC4">
        <w:t xml:space="preserve"> </w:t>
      </w:r>
      <w:r w:rsidR="00D01819">
        <w:t xml:space="preserve">Several of these WARN applications </w:t>
      </w:r>
      <w:r w:rsidR="00F303DE">
        <w:t>are</w:t>
      </w:r>
      <w:r w:rsidR="00D01819">
        <w:t xml:space="preserve"> </w:t>
      </w:r>
      <w:r w:rsidR="00BF0AF0">
        <w:t>mutually exclusive</w:t>
      </w:r>
      <w:r w:rsidR="00D01819">
        <w:t xml:space="preserve"> with other </w:t>
      </w:r>
      <w:r w:rsidR="00F303DE">
        <w:t xml:space="preserve">LPFM </w:t>
      </w:r>
      <w:r w:rsidR="00BF0AF0">
        <w:t>A</w:t>
      </w:r>
      <w:r w:rsidR="00D01819">
        <w:t>pplications</w:t>
      </w:r>
      <w:r>
        <w:t xml:space="preserve">.  </w:t>
      </w:r>
      <w:r w:rsidR="00382EC4">
        <w:t xml:space="preserve">We note that even if </w:t>
      </w:r>
      <w:r w:rsidR="00F303DE">
        <w:t>we</w:t>
      </w:r>
      <w:r w:rsidR="00382EC4">
        <w:t xml:space="preserve"> found </w:t>
      </w:r>
      <w:r w:rsidR="00F303DE">
        <w:t>WARN was</w:t>
      </w:r>
      <w:r w:rsidR="00382EC4">
        <w:t xml:space="preserve"> a legitimate public</w:t>
      </w:r>
      <w:r w:rsidR="00F43656">
        <w:t xml:space="preserve"> safety</w:t>
      </w:r>
      <w:r w:rsidR="00382EC4">
        <w:t xml:space="preserve"> radio service applicant, the MX WARN applications would still be dismissed</w:t>
      </w:r>
      <w:r w:rsidR="004F1A4A">
        <w:t xml:space="preserve"> under our rules</w:t>
      </w:r>
      <w:r w:rsidR="00382EC4">
        <w:t xml:space="preserve">.  </w:t>
      </w:r>
      <w:r w:rsidR="00F95102">
        <w:t xml:space="preserve">Public safety radio applicants were permitted to submit multiple applications in the LPFM </w:t>
      </w:r>
      <w:r w:rsidR="00BF0AF0">
        <w:t>filing window</w:t>
      </w:r>
      <w:r w:rsidR="00F95102">
        <w:t xml:space="preserve">, but were required to designate one “priority” application. </w:t>
      </w:r>
      <w:r w:rsidR="00BF0AF0">
        <w:t xml:space="preserve"> </w:t>
      </w:r>
      <w:r w:rsidR="00F95102">
        <w:t xml:space="preserve">Non-priority applications are dismissed if competing applications are filed in the same window.  </w:t>
      </w:r>
      <w:r w:rsidR="00F95102">
        <w:rPr>
          <w:i/>
          <w:iCs/>
        </w:rPr>
        <w:t xml:space="preserve">See </w:t>
      </w:r>
      <w:r w:rsidR="0061782F">
        <w:t>47 CFR § 73.855</w:t>
      </w:r>
      <w:r w:rsidR="00AC7D3C">
        <w:t>(c)</w:t>
      </w:r>
      <w:r w:rsidR="0061782F">
        <w:t xml:space="preserve">(2); </w:t>
      </w:r>
      <w:r w:rsidR="00AC7D3C">
        <w:rPr>
          <w:i/>
          <w:iCs/>
        </w:rPr>
        <w:t xml:space="preserve">see also </w:t>
      </w:r>
      <w:r w:rsidR="00F95102">
        <w:rPr>
          <w:i/>
          <w:iCs/>
        </w:rPr>
        <w:t xml:space="preserve">Creation of a Low Power Radio Service, </w:t>
      </w:r>
      <w:r w:rsidR="00F95102">
        <w:t xml:space="preserve">Memorandum Opinion and Order, 15 FCC Rcd 19208, 19239-40 (2000); </w:t>
      </w:r>
      <w:r w:rsidR="00F314C2">
        <w:rPr>
          <w:i/>
          <w:iCs/>
        </w:rPr>
        <w:t xml:space="preserve">LPFM Procedures Notice, supra </w:t>
      </w:r>
      <w:r w:rsidR="00F314C2">
        <w:t>note 1</w:t>
      </w:r>
      <w:r w:rsidR="0061782F">
        <w:t>.  A</w:t>
      </w:r>
      <w:r w:rsidRPr="0061782F" w:rsidR="00382EC4">
        <w:t>ccordingly</w:t>
      </w:r>
      <w:r w:rsidR="00382EC4">
        <w:t>, th</w:t>
      </w:r>
      <w:r>
        <w:t xml:space="preserve">e </w:t>
      </w:r>
      <w:r w:rsidR="00382EC4">
        <w:t xml:space="preserve">dismissed MX </w:t>
      </w:r>
      <w:r>
        <w:t>WARN applications are not identified as part of any MX group</w:t>
      </w:r>
      <w:r w:rsidR="00382EC4">
        <w:t xml:space="preserve"> herein</w:t>
      </w:r>
      <w:r>
        <w:t>.</w:t>
      </w:r>
      <w:r w:rsidR="00CD05F4">
        <w:t xml:space="preserve">  However, the MX groups, which include dismissed MX WARN applications, are identified with a double asterisk in Attachment A.</w:t>
      </w:r>
      <w:r w:rsidR="00DD564E">
        <w:t xml:space="preserve"> </w:t>
      </w:r>
    </w:p>
  </w:footnote>
  <w:footnote w:id="9">
    <w:p w:rsidR="00CD05F4" w14:paraId="31F453A0" w14:textId="4FC43439">
      <w:pPr>
        <w:pStyle w:val="FootnoteText"/>
      </w:pPr>
      <w:r>
        <w:rPr>
          <w:rStyle w:val="FootnoteReference"/>
        </w:rPr>
        <w:footnoteRef/>
      </w:r>
      <w:r>
        <w:t xml:space="preserve"> </w:t>
      </w:r>
      <w:r>
        <w:rPr>
          <w:i/>
          <w:iCs/>
        </w:rPr>
        <w:t xml:space="preserve">See </w:t>
      </w:r>
      <w:r w:rsidRPr="00A12D2F">
        <w:rPr>
          <w:i/>
          <w:iCs/>
        </w:rPr>
        <w:t xml:space="preserve">Commission States Future Policy on Incomplete and Patently Defective AM and FM Construction Permit Applications, </w:t>
      </w:r>
      <w:r w:rsidRPr="00A12D2F">
        <w:t>Public Notice, 56 RR 2d 776 (1984); 47 CFR § 1.106.</w:t>
      </w:r>
      <w:r>
        <w:t xml:space="preserve">  </w:t>
      </w:r>
    </w:p>
  </w:footnote>
  <w:footnote w:id="10">
    <w:p w:rsidR="00286611" w:rsidRPr="00286611" w14:paraId="181A3551" w14:textId="68C767AC">
      <w:pPr>
        <w:pStyle w:val="FootnoteText"/>
      </w:pPr>
      <w:r>
        <w:rPr>
          <w:rStyle w:val="FootnoteReference"/>
        </w:rPr>
        <w:footnoteRef/>
      </w:r>
      <w:r>
        <w:t xml:space="preserve"> </w:t>
      </w:r>
      <w:r w:rsidR="00E82CA2">
        <w:t>There are exceptions to this</w:t>
      </w:r>
      <w:r w:rsidR="00DD564E">
        <w:t xml:space="preserve"> policy</w:t>
      </w:r>
      <w:r w:rsidR="00E82CA2">
        <w:t xml:space="preserve">.  For example, </w:t>
      </w:r>
      <w:r w:rsidR="00DD5B31">
        <w:t>if an</w:t>
      </w:r>
      <w:r w:rsidR="00B10394">
        <w:t xml:space="preserve"> </w:t>
      </w:r>
      <w:r w:rsidR="00AE404C">
        <w:t xml:space="preserve">LPFM </w:t>
      </w:r>
      <w:r w:rsidR="00B10394">
        <w:t xml:space="preserve">application </w:t>
      </w:r>
      <w:r w:rsidR="00DD5B31">
        <w:t xml:space="preserve">is </w:t>
      </w:r>
      <w:r w:rsidR="00B10394">
        <w:t>dismissed</w:t>
      </w:r>
      <w:r w:rsidR="00DD5B31">
        <w:t xml:space="preserve"> for failure to meet the second</w:t>
      </w:r>
      <w:r w:rsidR="00AE404C">
        <w:t>-</w:t>
      </w:r>
      <w:r w:rsidR="00DD5B31">
        <w:t xml:space="preserve">adjacent channel spacing requirements, the applicant is prohibited from amending the application to correct the violation and seek reinstatement.  </w:t>
      </w:r>
      <w:r w:rsidR="00DD5B31">
        <w:rPr>
          <w:i/>
          <w:iCs/>
        </w:rPr>
        <w:t xml:space="preserve">See </w:t>
      </w:r>
      <w:r w:rsidRPr="00B51A48" w:rsidR="00AE404C">
        <w:t>47 CFR §</w:t>
      </w:r>
      <w:r w:rsidR="00AE404C">
        <w:t>§</w:t>
      </w:r>
      <w:r w:rsidRPr="00B51A48" w:rsidR="00AE404C">
        <w:t xml:space="preserve"> 73.807(a)(1)</w:t>
      </w:r>
      <w:r w:rsidR="00AE404C">
        <w:t>, 73.870(c)</w:t>
      </w:r>
      <w:r w:rsidRPr="00B51A48" w:rsidR="00AE404C">
        <w:t>.</w:t>
      </w:r>
      <w:r w:rsidR="00B10394">
        <w:t xml:space="preserve"> </w:t>
      </w:r>
    </w:p>
  </w:footnote>
  <w:footnote w:id="11">
    <w:p w:rsidR="00994E43" w:rsidRPr="00DB47CA" w:rsidP="00994E43" w14:paraId="706F6DA4" w14:textId="475DAEEF">
      <w:pPr>
        <w:pStyle w:val="FootnoteText"/>
      </w:pPr>
      <w:r>
        <w:rPr>
          <w:rStyle w:val="FootnoteReference"/>
        </w:rPr>
        <w:footnoteRef/>
      </w:r>
      <w:r>
        <w:t xml:space="preserve"> Although settlement and technical amendments submitted during the 60-day period will receive expedited processing, MX applicants can continue to submit settlements and technical amendments at any time after the release of </w:t>
      </w:r>
      <w:r w:rsidR="005A2684">
        <w:t>this Public Notice</w:t>
      </w:r>
      <w:r>
        <w:t>.</w:t>
      </w:r>
      <w:r w:rsidR="00DB47CA">
        <w:t xml:space="preserve"> </w:t>
      </w:r>
    </w:p>
  </w:footnote>
  <w:footnote w:id="12">
    <w:p w:rsidR="00994E43" w:rsidRPr="001851D1" w:rsidP="00994E43" w14:paraId="7DCE2309" w14:textId="77777777">
      <w:pPr>
        <w:pStyle w:val="FootnoteText"/>
      </w:pPr>
      <w:r>
        <w:rPr>
          <w:rStyle w:val="FootnoteReference"/>
        </w:rPr>
        <w:footnoteRef/>
      </w:r>
      <w:r>
        <w:t xml:space="preserve"> </w:t>
      </w:r>
      <w:r>
        <w:rPr>
          <w:i/>
          <w:iCs/>
        </w:rPr>
        <w:t xml:space="preserve">See </w:t>
      </w:r>
      <w:r>
        <w:t>47 CFR § 73.872.</w:t>
      </w:r>
    </w:p>
  </w:footnote>
  <w:footnote w:id="13">
    <w:p w:rsidR="00DB47CA" w:rsidRPr="00DB47CA" w:rsidP="000B71C8" w14:paraId="7E6A73B9" w14:textId="11C3391F">
      <w:pPr>
        <w:pStyle w:val="FootnoteText"/>
      </w:pPr>
      <w:r w:rsidRPr="00DB47CA">
        <w:rPr>
          <w:rStyle w:val="FootnoteReference"/>
          <w:sz w:val="20"/>
        </w:rPr>
        <w:footnoteRef/>
      </w:r>
      <w:r w:rsidRPr="00DB47CA">
        <w:t xml:space="preserve"> Although LPFM applicants may also communicate and collaborate at any time on aggregating their points and entering into voluntary time-sharing agreements, time share proposals cannot be submitted at this time.  </w:t>
      </w:r>
      <w:r>
        <w:t>A</w:t>
      </w:r>
      <w:r w:rsidRPr="00DB47CA">
        <w:t xml:space="preserve">ny time-share proposal may </w:t>
      </w:r>
      <w:r w:rsidRPr="00DB47CA">
        <w:rPr>
          <w:i/>
          <w:iCs/>
        </w:rPr>
        <w:t>only</w:t>
      </w:r>
      <w:r w:rsidRPr="00DB47CA">
        <w:t xml:space="preserve"> be electronically submitted within 90 days after the release of the </w:t>
      </w:r>
      <w:r w:rsidR="00C53064">
        <w:t>public notice announcing</w:t>
      </w:r>
      <w:r w:rsidRPr="00C53064" w:rsidR="00C53064">
        <w:rPr>
          <w:i/>
          <w:iCs/>
        </w:rPr>
        <w:t xml:space="preserve"> </w:t>
      </w:r>
      <w:r w:rsidR="00C53064">
        <w:t xml:space="preserve">the tentative selectees in an MX group.  </w:t>
      </w:r>
      <w:r w:rsidR="00C53064">
        <w:rPr>
          <w:i/>
          <w:iCs/>
        </w:rPr>
        <w:t xml:space="preserve">See </w:t>
      </w:r>
      <w:r w:rsidR="000B71C8">
        <w:rPr>
          <w:bCs/>
          <w:i/>
          <w:iCs/>
          <w:szCs w:val="22"/>
        </w:rPr>
        <w:t>Media Bureau Provides Guidance on the Processing of Schedule 318 Applications Filed in the LPFM Window</w:t>
      </w:r>
      <w:r w:rsidR="000B71C8">
        <w:rPr>
          <w:bCs/>
          <w:szCs w:val="22"/>
        </w:rPr>
        <w:t>, Public Notice, DA 24-92 (Feb. 1, 2024) (</w:t>
      </w:r>
      <w:r w:rsidR="000B71C8">
        <w:rPr>
          <w:bCs/>
          <w:i/>
          <w:iCs/>
          <w:szCs w:val="22"/>
        </w:rPr>
        <w:t xml:space="preserve">LPFM </w:t>
      </w:r>
      <w:r w:rsidR="00627349">
        <w:rPr>
          <w:bCs/>
          <w:i/>
          <w:iCs/>
          <w:szCs w:val="22"/>
        </w:rPr>
        <w:t>Processing</w:t>
      </w:r>
      <w:r w:rsidR="000B71C8">
        <w:rPr>
          <w:bCs/>
          <w:i/>
          <w:iCs/>
          <w:szCs w:val="22"/>
        </w:rPr>
        <w:t xml:space="preserve"> Notice</w:t>
      </w:r>
      <w:r w:rsidR="000B71C8">
        <w:rPr>
          <w:bCs/>
          <w:szCs w:val="22"/>
        </w:rPr>
        <w:t>)</w:t>
      </w:r>
      <w:r w:rsidRPr="000B71C8" w:rsidR="000B71C8">
        <w:t xml:space="preserve"> </w:t>
      </w:r>
      <w:r w:rsidR="000B71C8">
        <w:t>(detailing</w:t>
      </w:r>
      <w:r w:rsidR="00517DCA">
        <w:t xml:space="preserve">, </w:t>
      </w:r>
      <w:r w:rsidRPr="00517DCA" w:rsidR="00517DCA">
        <w:rPr>
          <w:i/>
          <w:iCs/>
        </w:rPr>
        <w:t>inter alia</w:t>
      </w:r>
      <w:r w:rsidR="00517DCA">
        <w:t>,</w:t>
      </w:r>
      <w:r w:rsidR="000B71C8">
        <w:t xml:space="preserve"> the procedures and requirements for filing voluntary time-share agreements); 47 CFR </w:t>
      </w:r>
      <w:r w:rsidRPr="002B5497" w:rsidR="000B71C8">
        <w:t>§ 73.872</w:t>
      </w:r>
      <w:r w:rsidR="000B71C8">
        <w:t xml:space="preserve">(c).  </w:t>
      </w:r>
    </w:p>
  </w:footnote>
  <w:footnote w:id="14">
    <w:p w:rsidR="001E0D0E" w:rsidRPr="00020EF5" w:rsidP="0072067F" w14:paraId="34F43B66" w14:textId="665C004B">
      <w:pPr>
        <w:spacing w:after="120"/>
        <w:rPr>
          <w:sz w:val="20"/>
        </w:rPr>
      </w:pPr>
      <w:r w:rsidRPr="009F3EF4">
        <w:rPr>
          <w:rStyle w:val="FootnoteReference"/>
          <w:sz w:val="20"/>
        </w:rPr>
        <w:footnoteRef/>
      </w:r>
      <w:r w:rsidRPr="009F3EF4">
        <w:rPr>
          <w:sz w:val="20"/>
        </w:rPr>
        <w:t xml:space="preserve"> Although the Commission’s </w:t>
      </w:r>
      <w:r w:rsidR="007D49B9">
        <w:rPr>
          <w:sz w:val="20"/>
        </w:rPr>
        <w:t>r</w:t>
      </w:r>
      <w:r w:rsidRPr="009F3EF4">
        <w:rPr>
          <w:sz w:val="20"/>
        </w:rPr>
        <w:t>ules permit parties to settle at any time (</w:t>
      </w:r>
      <w:r w:rsidRPr="009F3EF4">
        <w:rPr>
          <w:i/>
          <w:sz w:val="20"/>
        </w:rPr>
        <w:t xml:space="preserve">see </w:t>
      </w:r>
      <w:r w:rsidRPr="009F3EF4">
        <w:rPr>
          <w:sz w:val="20"/>
        </w:rPr>
        <w:t xml:space="preserve">47 </w:t>
      </w:r>
      <w:r>
        <w:rPr>
          <w:sz w:val="20"/>
        </w:rPr>
        <w:t>CFR</w:t>
      </w:r>
      <w:r w:rsidRPr="009F3EF4">
        <w:rPr>
          <w:sz w:val="20"/>
        </w:rPr>
        <w:t xml:space="preserve"> § 73.7003(d)</w:t>
      </w:r>
      <w:r>
        <w:rPr>
          <w:sz w:val="20"/>
        </w:rPr>
        <w:t>)</w:t>
      </w:r>
      <w:r w:rsidRPr="009F3EF4">
        <w:rPr>
          <w:sz w:val="20"/>
        </w:rPr>
        <w:t xml:space="preserve">, we encourage applicants to take advantage of this limited opportunity to enter into settlements.  The present window for settlements will provide an opportunity to promptly resolve groups of mutually exclusive applications and permit the expeditious authorization of new broadcast service to these applicants.  </w:t>
      </w:r>
    </w:p>
  </w:footnote>
  <w:footnote w:id="15">
    <w:p w:rsidR="001851D1" w:rsidRPr="001851D1" w:rsidP="0072067F" w14:paraId="53ABD875" w14:textId="31FD4E1B">
      <w:pPr>
        <w:pStyle w:val="FootnoteText"/>
      </w:pPr>
      <w:r>
        <w:rPr>
          <w:rStyle w:val="FootnoteReference"/>
        </w:rPr>
        <w:footnoteRef/>
      </w:r>
      <w:r w:rsidR="001A3AB6">
        <w:t xml:space="preserve"> </w:t>
      </w:r>
      <w:r w:rsidR="00705D8A">
        <w:t xml:space="preserve">The Commission will compare </w:t>
      </w:r>
      <w:r w:rsidRPr="003060C8" w:rsidR="00705D8A">
        <w:rPr>
          <w:szCs w:val="22"/>
          <w:shd w:val="clear" w:color="auto" w:fill="FFFFFF"/>
        </w:rPr>
        <w:t xml:space="preserve">MX </w:t>
      </w:r>
      <w:r w:rsidR="00705D8A">
        <w:rPr>
          <w:szCs w:val="22"/>
          <w:shd w:val="clear" w:color="auto" w:fill="FFFFFF"/>
        </w:rPr>
        <w:t>applications</w:t>
      </w:r>
      <w:r w:rsidRPr="003060C8" w:rsidR="00705D8A">
        <w:rPr>
          <w:szCs w:val="22"/>
          <w:shd w:val="clear" w:color="auto" w:fill="FFFFFF"/>
        </w:rPr>
        <w:t xml:space="preserve"> under the LPFM point system</w:t>
      </w:r>
      <w:r w:rsidR="00705D8A">
        <w:rPr>
          <w:szCs w:val="22"/>
          <w:shd w:val="clear" w:color="auto" w:fill="FFFFFF"/>
        </w:rPr>
        <w:t xml:space="preserve"> and </w:t>
      </w:r>
      <w:r w:rsidRPr="003060C8" w:rsidR="00705D8A">
        <w:rPr>
          <w:szCs w:val="22"/>
          <w:shd w:val="clear" w:color="auto" w:fill="FFFFFF"/>
        </w:rPr>
        <w:t>tentatively select the application(s) with the highest point total from each MX group for grant</w:t>
      </w:r>
      <w:r w:rsidR="00705D8A">
        <w:rPr>
          <w:szCs w:val="22"/>
          <w:shd w:val="clear" w:color="auto" w:fill="FFFFFF"/>
        </w:rPr>
        <w:t xml:space="preserve">.  </w:t>
      </w:r>
      <w:r w:rsidR="00705D8A">
        <w:rPr>
          <w:i/>
          <w:iCs/>
          <w:szCs w:val="22"/>
          <w:shd w:val="clear" w:color="auto" w:fill="FFFFFF"/>
        </w:rPr>
        <w:t xml:space="preserve">See </w:t>
      </w:r>
      <w:r w:rsidR="00705D8A">
        <w:rPr>
          <w:szCs w:val="22"/>
          <w:shd w:val="clear" w:color="auto" w:fill="FFFFFF"/>
        </w:rPr>
        <w:t>47 CFR § 73.872(b).</w:t>
      </w:r>
      <w:r w:rsidR="00FC49A8">
        <w:t xml:space="preserve"> </w:t>
      </w:r>
    </w:p>
  </w:footnote>
  <w:footnote w:id="16">
    <w:p w:rsidR="008E48BF" w14:paraId="5FBFB5BD" w14:textId="3D553094">
      <w:pPr>
        <w:pStyle w:val="FootnoteText"/>
      </w:pPr>
      <w:r>
        <w:rPr>
          <w:rStyle w:val="FootnoteReference"/>
        </w:rPr>
        <w:footnoteRef/>
      </w:r>
      <w:r>
        <w:t xml:space="preserve"> </w:t>
      </w:r>
      <w:r w:rsidRPr="00B83C99">
        <w:t>We will process any settlement achieved through technical amendment(s) and/or dismissal(s)</w:t>
      </w:r>
      <w:r>
        <w:t>,</w:t>
      </w:r>
      <w:r w:rsidRPr="00B83C99">
        <w:t xml:space="preserve"> which results in our ability to grant at least one singleton application.  </w:t>
      </w:r>
      <w:r w:rsidRPr="00B83C99">
        <w:rPr>
          <w:rStyle w:val="documentbody1"/>
          <w:rFonts w:ascii="Times New Roman" w:hAnsi="Times New Roman"/>
          <w:color w:val="000000"/>
          <w:sz w:val="20"/>
          <w:szCs w:val="20"/>
        </w:rPr>
        <w:t xml:space="preserve">In the event that the staff determines that a settlement complies with the Commission's </w:t>
      </w:r>
      <w:r>
        <w:rPr>
          <w:rStyle w:val="documentbody1"/>
          <w:rFonts w:ascii="Times New Roman" w:hAnsi="Times New Roman"/>
          <w:color w:val="000000"/>
          <w:sz w:val="20"/>
          <w:szCs w:val="20"/>
        </w:rPr>
        <w:t>r</w:t>
      </w:r>
      <w:r w:rsidRPr="00B83C99">
        <w:rPr>
          <w:rStyle w:val="documentbody1"/>
          <w:rFonts w:ascii="Times New Roman" w:hAnsi="Times New Roman"/>
          <w:color w:val="000000"/>
          <w:sz w:val="20"/>
          <w:szCs w:val="20"/>
        </w:rPr>
        <w:t xml:space="preserve">ules, we will issue a Public Notice accepting for filing all applications proposed for grant pursuant to the settlement.  Petitions to deny these applications may be filed within </w:t>
      </w:r>
      <w:r>
        <w:rPr>
          <w:rStyle w:val="documentbody1"/>
          <w:rFonts w:ascii="Times New Roman" w:hAnsi="Times New Roman"/>
          <w:color w:val="000000"/>
          <w:sz w:val="20"/>
          <w:szCs w:val="20"/>
        </w:rPr>
        <w:t>30</w:t>
      </w:r>
      <w:r w:rsidRPr="00B83C99">
        <w:rPr>
          <w:rStyle w:val="documentbody1"/>
          <w:rFonts w:ascii="Times New Roman" w:hAnsi="Times New Roman"/>
          <w:color w:val="000000"/>
          <w:sz w:val="20"/>
          <w:szCs w:val="20"/>
        </w:rPr>
        <w:t xml:space="preserve"> days of this subsequent Public Notice.</w:t>
      </w:r>
      <w:r w:rsidRPr="00B83C99">
        <w:t xml:space="preserve">  </w:t>
      </w:r>
    </w:p>
  </w:footnote>
  <w:footnote w:id="17">
    <w:p w:rsidR="005D6879" w:rsidRPr="00020EF5" w:rsidP="0072067F" w14:paraId="56DB0EC9" w14:textId="1AB76396">
      <w:pPr>
        <w:spacing w:after="120"/>
        <w:rPr>
          <w:sz w:val="20"/>
        </w:rPr>
      </w:pPr>
      <w:r w:rsidRPr="00B83C99">
        <w:rPr>
          <w:rStyle w:val="FootnoteReference"/>
          <w:sz w:val="20"/>
        </w:rPr>
        <w:footnoteRef/>
      </w:r>
      <w:r w:rsidRPr="00B83C99">
        <w:rPr>
          <w:sz w:val="20"/>
        </w:rPr>
        <w:t xml:space="preserve"> </w:t>
      </w:r>
      <w:r w:rsidR="005D6A47">
        <w:rPr>
          <w:sz w:val="20"/>
        </w:rPr>
        <w:t xml:space="preserve">Examples of prohibited changes that make existing conflicts worse </w:t>
      </w:r>
      <w:r w:rsidR="009E0090">
        <w:rPr>
          <w:sz w:val="20"/>
        </w:rPr>
        <w:t>include</w:t>
      </w:r>
      <w:r w:rsidR="00C2039B">
        <w:rPr>
          <w:sz w:val="20"/>
        </w:rPr>
        <w:t xml:space="preserve">:  (1) </w:t>
      </w:r>
      <w:r w:rsidR="005D6A47">
        <w:rPr>
          <w:sz w:val="20"/>
        </w:rPr>
        <w:t xml:space="preserve">changing </w:t>
      </w:r>
      <w:r w:rsidR="00E578C3">
        <w:rPr>
          <w:sz w:val="20"/>
        </w:rPr>
        <w:t xml:space="preserve">an existing conflict with a nearby proposed facility </w:t>
      </w:r>
      <w:r w:rsidR="005D6A47">
        <w:rPr>
          <w:sz w:val="20"/>
        </w:rPr>
        <w:t xml:space="preserve">from a first-adjacent channel that is short-spaced under Section 73.807 </w:t>
      </w:r>
      <w:r w:rsidR="00C82E9F">
        <w:rPr>
          <w:sz w:val="20"/>
        </w:rPr>
        <w:t xml:space="preserve">of the rules </w:t>
      </w:r>
      <w:r w:rsidR="005D6A47">
        <w:rPr>
          <w:sz w:val="20"/>
        </w:rPr>
        <w:t xml:space="preserve">to a co-channel that is short-spaced under </w:t>
      </w:r>
      <w:r w:rsidR="008E48BF">
        <w:rPr>
          <w:sz w:val="20"/>
        </w:rPr>
        <w:t>s</w:t>
      </w:r>
      <w:r w:rsidR="005D6A47">
        <w:rPr>
          <w:sz w:val="20"/>
        </w:rPr>
        <w:t xml:space="preserve">ection 73.807, and/or </w:t>
      </w:r>
      <w:r w:rsidR="00C2039B">
        <w:rPr>
          <w:sz w:val="20"/>
        </w:rPr>
        <w:t xml:space="preserve">(2) </w:t>
      </w:r>
      <w:r w:rsidR="005D6A47">
        <w:rPr>
          <w:sz w:val="20"/>
        </w:rPr>
        <w:t xml:space="preserve">reducing the distance to another proposal that is already short-spaced under </w:t>
      </w:r>
      <w:r w:rsidR="008E48BF">
        <w:rPr>
          <w:sz w:val="20"/>
        </w:rPr>
        <w:t>s</w:t>
      </w:r>
      <w:r w:rsidR="005D6A47">
        <w:rPr>
          <w:sz w:val="20"/>
        </w:rPr>
        <w:t>ection 73.807</w:t>
      </w:r>
      <w:r w:rsidR="00C2039B">
        <w:rPr>
          <w:sz w:val="20"/>
        </w:rPr>
        <w:t xml:space="preserve"> of the rules</w:t>
      </w:r>
      <w:r w:rsidR="005D6A47">
        <w:rPr>
          <w:sz w:val="20"/>
        </w:rPr>
        <w:t>.</w:t>
      </w:r>
    </w:p>
  </w:footnote>
  <w:footnote w:id="18">
    <w:p w:rsidR="006906C2" w:rsidP="0072067F" w14:paraId="29485E05" w14:textId="77777777">
      <w:pPr>
        <w:pStyle w:val="FootnoteText"/>
      </w:pPr>
      <w:r w:rsidRPr="007E2248">
        <w:rPr>
          <w:rStyle w:val="FootnoteReference"/>
          <w:sz w:val="20"/>
        </w:rPr>
        <w:footnoteRef/>
      </w:r>
      <w:r w:rsidRPr="007E2248">
        <w:t xml:space="preserve"> 47 CFR § 73.3525.</w:t>
      </w:r>
    </w:p>
  </w:footnote>
  <w:footnote w:id="19">
    <w:p w:rsidR="006906C2" w:rsidRPr="003E4B3E" w:rsidP="0072067F" w14:paraId="584BB0E5" w14:textId="77777777">
      <w:pPr>
        <w:pStyle w:val="FootnoteText"/>
      </w:pPr>
      <w:r w:rsidRPr="003E4B3E">
        <w:rPr>
          <w:rStyle w:val="FootnoteReference"/>
          <w:sz w:val="20"/>
        </w:rPr>
        <w:footnoteRef/>
      </w:r>
      <w:r w:rsidRPr="003E4B3E">
        <w:t xml:space="preserve"> “Legitimate and prudent expenses” are those expenses reasonably incurred by an applicant in preparing, filing, prosecuting, and settling its application for which reimbursement is being sought.  47 CFR § 73.3525(</w:t>
      </w:r>
      <w:r>
        <w:t>h</w:t>
      </w:r>
      <w:r w:rsidRPr="003E4B3E">
        <w:t xml:space="preserve">). </w:t>
      </w:r>
    </w:p>
  </w:footnote>
  <w:footnote w:id="20">
    <w:p w:rsidR="006906C2" w:rsidRPr="003E4B3E" w:rsidP="0072067F" w14:paraId="7130CA2F" w14:textId="319F5FE8">
      <w:pPr>
        <w:pStyle w:val="FootnoteText"/>
      </w:pPr>
      <w:r w:rsidRPr="003E4B3E">
        <w:rPr>
          <w:rStyle w:val="FootnoteReference"/>
          <w:sz w:val="20"/>
        </w:rPr>
        <w:footnoteRef/>
      </w:r>
      <w:r w:rsidRPr="003E4B3E">
        <w:t xml:space="preserve"> </w:t>
      </w:r>
      <w:r w:rsidRPr="003E4B3E">
        <w:rPr>
          <w:i/>
        </w:rPr>
        <w:t>See</w:t>
      </w:r>
      <w:r w:rsidRPr="003E4B3E">
        <w:t xml:space="preserve"> 47 CFR § 73.3525.  </w:t>
      </w:r>
    </w:p>
  </w:footnote>
  <w:footnote w:id="21">
    <w:p w:rsidR="005D6879" w:rsidRPr="003E4B3E" w:rsidP="003E4B3E" w14:paraId="6163F744" w14:textId="66B8A05D">
      <w:pPr>
        <w:pStyle w:val="FootnoteText"/>
      </w:pPr>
      <w:r w:rsidRPr="003E4B3E">
        <w:rPr>
          <w:rStyle w:val="FootnoteReference"/>
          <w:sz w:val="20"/>
        </w:rPr>
        <w:footnoteRef/>
      </w:r>
      <w:r w:rsidRPr="003E4B3E">
        <w:t xml:space="preserve"> </w:t>
      </w:r>
      <w:r w:rsidR="0048613B">
        <w:rPr>
          <w:i/>
        </w:rPr>
        <w:t>Id.</w:t>
      </w:r>
      <w:r w:rsidRPr="003E4B3E">
        <w:t xml:space="preserve"> § 73.3525(</w:t>
      </w:r>
      <w:r w:rsidR="007A72E9">
        <w:t>b</w:t>
      </w:r>
      <w:r w:rsidRPr="003E4B3E">
        <w:t xml:space="preserve">).     </w:t>
      </w:r>
    </w:p>
  </w:footnote>
  <w:footnote w:id="22">
    <w:p w:rsidR="00D44CF5" w:rsidP="00D44CF5" w14:paraId="2881DA29" w14:textId="77777777">
      <w:pPr>
        <w:pStyle w:val="FootnoteText"/>
      </w:pPr>
      <w:r>
        <w:rPr>
          <w:rStyle w:val="FootnoteReference"/>
        </w:rPr>
        <w:footnoteRef/>
      </w:r>
      <w:r>
        <w:t xml:space="preserve"> A technical amendment is one in which an applicant removes itself from the MX group to achieve a grant by making minor engineering changes to its own application, without affecting the viability of any of the other applicants to compete for a second station.</w:t>
      </w:r>
    </w:p>
  </w:footnote>
  <w:footnote w:id="23">
    <w:p w:rsidR="00D44CF5" w:rsidP="00D44CF5" w14:paraId="189B0CB2" w14:textId="77777777">
      <w:pPr>
        <w:pStyle w:val="FootnoteText"/>
      </w:pPr>
      <w:r>
        <w:rPr>
          <w:rStyle w:val="FootnoteReference"/>
        </w:rPr>
        <w:footnoteRef/>
      </w:r>
      <w:r>
        <w:t xml:space="preserve"> </w:t>
      </w:r>
      <w:r>
        <w:rPr>
          <w:i/>
        </w:rPr>
        <w:t xml:space="preserve">See </w:t>
      </w:r>
      <w:r>
        <w:t>47 CFR § 73.853(b).</w:t>
      </w:r>
    </w:p>
  </w:footnote>
  <w:footnote w:id="24">
    <w:p w:rsidR="00BA088D" w:rsidP="00BA088D" w14:paraId="34D9B935" w14:textId="1C2D2355">
      <w:pPr>
        <w:pStyle w:val="FootnoteText"/>
      </w:pPr>
      <w:r>
        <w:rPr>
          <w:rStyle w:val="FootnoteReference"/>
        </w:rPr>
        <w:footnoteRef/>
      </w:r>
      <w:r>
        <w:t xml:space="preserve"> </w:t>
      </w:r>
      <w:r>
        <w:rPr>
          <w:i/>
        </w:rPr>
        <w:t>Id.</w:t>
      </w:r>
      <w:r>
        <w:t xml:space="preserve"> § 73.870(e).</w:t>
      </w:r>
    </w:p>
  </w:footnote>
  <w:footnote w:id="25">
    <w:p w:rsidR="00604428" w:rsidRPr="00DB47CA" w14:paraId="27E09318" w14:textId="5BDDC572">
      <w:pPr>
        <w:pStyle w:val="FootnoteText"/>
      </w:pPr>
      <w:r>
        <w:rPr>
          <w:rStyle w:val="FootnoteReference"/>
        </w:rPr>
        <w:footnoteRef/>
      </w:r>
      <w:r>
        <w:t xml:space="preserve"> The </w:t>
      </w:r>
      <w:r>
        <w:rPr>
          <w:bCs/>
          <w:szCs w:val="22"/>
        </w:rPr>
        <w:t xml:space="preserve">Bureau’s temporary freeze on the filing of </w:t>
      </w:r>
      <w:r w:rsidRPr="00D2699C">
        <w:rPr>
          <w:bCs/>
          <w:szCs w:val="22"/>
        </w:rPr>
        <w:t>any</w:t>
      </w:r>
      <w:r>
        <w:rPr>
          <w:bCs/>
          <w:szCs w:val="22"/>
        </w:rPr>
        <w:t xml:space="preserve"> amendments to new LPFM </w:t>
      </w:r>
      <w:r w:rsidR="00FB06A0">
        <w:rPr>
          <w:bCs/>
          <w:szCs w:val="22"/>
        </w:rPr>
        <w:t>Applications</w:t>
      </w:r>
      <w:r>
        <w:rPr>
          <w:bCs/>
          <w:szCs w:val="22"/>
        </w:rPr>
        <w:t xml:space="preserve"> submitted in the December 2023, filing window was lifted on</w:t>
      </w:r>
      <w:r w:rsidRPr="0025411A">
        <w:rPr>
          <w:bCs/>
          <w:szCs w:val="22"/>
        </w:rPr>
        <w:t xml:space="preserve"> January 31, 2024</w:t>
      </w:r>
      <w:r>
        <w:rPr>
          <w:bCs/>
          <w:szCs w:val="22"/>
        </w:rPr>
        <w:t xml:space="preserve">.  </w:t>
      </w:r>
      <w:r w:rsidR="00DB47CA">
        <w:rPr>
          <w:bCs/>
          <w:i/>
          <w:iCs/>
          <w:szCs w:val="22"/>
        </w:rPr>
        <w:t xml:space="preserve">See </w:t>
      </w:r>
      <w:r w:rsidR="000B71C8">
        <w:rPr>
          <w:bCs/>
          <w:i/>
          <w:iCs/>
          <w:szCs w:val="22"/>
        </w:rPr>
        <w:t xml:space="preserve">LPFM </w:t>
      </w:r>
      <w:r w:rsidR="002B6895">
        <w:rPr>
          <w:bCs/>
          <w:i/>
          <w:iCs/>
          <w:szCs w:val="22"/>
        </w:rPr>
        <w:t>Processing</w:t>
      </w:r>
      <w:r w:rsidR="000B71C8">
        <w:rPr>
          <w:bCs/>
          <w:i/>
          <w:iCs/>
          <w:szCs w:val="22"/>
        </w:rPr>
        <w:t xml:space="preserve"> Notice, supra </w:t>
      </w:r>
      <w:r w:rsidR="000B71C8">
        <w:rPr>
          <w:bCs/>
          <w:szCs w:val="22"/>
        </w:rPr>
        <w:t xml:space="preserve">note </w:t>
      </w:r>
      <w:r w:rsidR="006F065E">
        <w:rPr>
          <w:bCs/>
          <w:szCs w:val="22"/>
        </w:rPr>
        <w:t>11</w:t>
      </w:r>
      <w:r w:rsidR="000B71C8">
        <w:rPr>
          <w:bCs/>
          <w:szCs w:val="22"/>
        </w:rPr>
        <w:t>.</w:t>
      </w:r>
    </w:p>
  </w:footnote>
  <w:footnote w:id="26">
    <w:p w:rsidR="003D1ED3" w:rsidRPr="008E220E" w:rsidP="003D1ED3" w14:paraId="15BEA415" w14:textId="77777777">
      <w:pPr>
        <w:pStyle w:val="FootnoteText"/>
        <w:rPr>
          <w:b/>
          <w:bCs/>
        </w:rPr>
      </w:pPr>
      <w:r>
        <w:rPr>
          <w:rStyle w:val="FootnoteReference"/>
        </w:rPr>
        <w:footnoteRef/>
      </w:r>
      <w:r>
        <w:t xml:space="preserve"> 47 CFR § 73.871(c)(1).</w:t>
      </w:r>
    </w:p>
  </w:footnote>
  <w:footnote w:id="27">
    <w:p w:rsidR="003D1ED3" w:rsidRPr="00D0000B" w:rsidP="003D1ED3" w14:paraId="4DA98275" w14:textId="44161CA0">
      <w:pPr>
        <w:pStyle w:val="FootnoteText"/>
        <w:rPr>
          <w:i/>
          <w:iCs/>
        </w:rPr>
      </w:pPr>
      <w:r>
        <w:rPr>
          <w:rStyle w:val="FootnoteReference"/>
        </w:rPr>
        <w:footnoteRef/>
      </w:r>
      <w:r>
        <w:t xml:space="preserve"> </w:t>
      </w:r>
      <w:r>
        <w:rPr>
          <w:i/>
          <w:iCs/>
        </w:rPr>
        <w:t xml:space="preserve">See </w:t>
      </w:r>
      <w:r w:rsidR="0046587A">
        <w:rPr>
          <w:i/>
          <w:iCs/>
        </w:rPr>
        <w:t>id.</w:t>
      </w:r>
      <w:r>
        <w:t xml:space="preserve"> § 73.871(c)(3).  All ownership changes in a governmental applicant are considered minor.  </w:t>
      </w:r>
      <w:r>
        <w:rPr>
          <w:i/>
          <w:iCs/>
        </w:rPr>
        <w:t>Id.</w:t>
      </w:r>
    </w:p>
  </w:footnote>
  <w:footnote w:id="28">
    <w:p w:rsidR="003D1ED3" w:rsidP="003D1ED3" w14:paraId="7AFEB19F" w14:textId="77777777">
      <w:pPr>
        <w:pStyle w:val="FootnoteText"/>
      </w:pPr>
      <w:r>
        <w:rPr>
          <w:rStyle w:val="FootnoteReference"/>
        </w:rPr>
        <w:footnoteRef/>
      </w:r>
      <w:r>
        <w:t xml:space="preserve"> </w:t>
      </w:r>
      <w:r>
        <w:rPr>
          <w:i/>
        </w:rPr>
        <w:t>See</w:t>
      </w:r>
      <w:r>
        <w:t xml:space="preserve"> 47 CFR §73.3525(b). </w:t>
      </w:r>
    </w:p>
  </w:footnote>
  <w:footnote w:id="29">
    <w:p w:rsidR="00AE0DB8" w:rsidRPr="007041B6" w:rsidP="00AE0DB8" w14:paraId="2F7C8149" w14:textId="77777777">
      <w:pPr>
        <w:pStyle w:val="FootnoteText"/>
        <w:rPr>
          <w:b/>
          <w:bCs/>
        </w:rPr>
      </w:pPr>
      <w:r w:rsidRPr="007041B6">
        <w:rPr>
          <w:rStyle w:val="FootnoteReference"/>
          <w:sz w:val="20"/>
        </w:rPr>
        <w:footnoteRef/>
      </w:r>
      <w:r w:rsidRPr="007041B6">
        <w:t xml:space="preserve"> 47 CFR §§ 73.807</w:t>
      </w:r>
      <w:r>
        <w:t>, 73.870(c).</w:t>
      </w:r>
    </w:p>
  </w:footnote>
  <w:footnote w:id="30">
    <w:p w:rsidR="00104546" w:rsidRPr="00104546" w14:paraId="38E032B7" w14:textId="3B3C95FF">
      <w:pPr>
        <w:pStyle w:val="FootnoteText"/>
      </w:pPr>
      <w:r>
        <w:rPr>
          <w:rStyle w:val="FootnoteReference"/>
        </w:rPr>
        <w:footnoteRef/>
      </w:r>
      <w:r>
        <w:t xml:space="preserve"> As explained in the </w:t>
      </w:r>
      <w:r>
        <w:rPr>
          <w:i/>
          <w:iCs/>
        </w:rPr>
        <w:t xml:space="preserve">LPFM </w:t>
      </w:r>
      <w:r w:rsidR="002B6895">
        <w:rPr>
          <w:i/>
          <w:iCs/>
        </w:rPr>
        <w:t>Processing</w:t>
      </w:r>
      <w:r>
        <w:rPr>
          <w:i/>
          <w:iCs/>
        </w:rPr>
        <w:t xml:space="preserve"> Notice</w:t>
      </w:r>
      <w:r>
        <w:t>, major amendments will only be allowed after the Commission identifies tentative selectees among the MX groups.  Tentative selectees will be announced in a series of public notices after the 60-day settlement period.  Major amendments will only be allowed within 90 days of the release of a tentative selectee public notice and only with respect to applications in the particular notice.</w:t>
      </w:r>
    </w:p>
  </w:footnote>
  <w:footnote w:id="31">
    <w:p w:rsidR="005E6BDD" w14:paraId="216656CB" w14:textId="34620895">
      <w:pPr>
        <w:pStyle w:val="FootnoteText"/>
      </w:pPr>
      <w:r>
        <w:rPr>
          <w:rStyle w:val="FootnoteReference"/>
        </w:rPr>
        <w:footnoteRef/>
      </w:r>
      <w:r>
        <w:t xml:space="preserve"> If more than one application in the MX group will survive</w:t>
      </w:r>
      <w:r w:rsidR="008F0135">
        <w:t>/continue to be processed pursuant to the terms of the settlement agreement</w:t>
      </w:r>
      <w:r>
        <w:t xml:space="preserve">, the Settlement Package should also be filed as an amendment to these additional </w:t>
      </w:r>
      <w:r w:rsidR="008F0135">
        <w:t>Schedule 3</w:t>
      </w:r>
      <w:r w:rsidR="00D748F8">
        <w:t>18</w:t>
      </w:r>
      <w:r w:rsidR="008F0135">
        <w:t xml:space="preserve"> </w:t>
      </w:r>
      <w:r>
        <w:t>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rsidRPr="00C37A2D" w:rsidP="00C37A2D" w14:paraId="06784AE3" w14:textId="6BC44614">
    <w:pPr>
      <w:pStyle w:val="Header"/>
      <w:rPr>
        <w:sz w:val="24"/>
        <w:szCs w:val="24"/>
      </w:rPr>
    </w:pPr>
    <w:r w:rsidRPr="00C37A2D">
      <w:rPr>
        <w:sz w:val="24"/>
        <w:szCs w:val="24"/>
      </w:rPr>
      <w:tab/>
      <w:t>Federal Communications Commission</w:t>
    </w:r>
    <w:r w:rsidRPr="00C37A2D">
      <w:rPr>
        <w:sz w:val="24"/>
        <w:szCs w:val="24"/>
      </w:rPr>
      <w:tab/>
    </w:r>
    <w:r w:rsidR="006E5C64">
      <w:rPr>
        <w:sz w:val="24"/>
        <w:szCs w:val="24"/>
      </w:rPr>
      <w:t>DA 2</w:t>
    </w:r>
    <w:r w:rsidR="00255841">
      <w:rPr>
        <w:sz w:val="24"/>
        <w:szCs w:val="24"/>
      </w:rPr>
      <w:t>4</w:t>
    </w:r>
    <w:r>
      <w:rPr>
        <w:sz w:val="24"/>
        <w:szCs w:val="24"/>
      </w:rPr>
      <w:t>-</w:t>
    </w:r>
    <w:r w:rsidR="008172A5">
      <w:rPr>
        <w:sz w:val="24"/>
        <w:szCs w:val="24"/>
      </w:rPr>
      <w:t>256</w:t>
    </w:r>
  </w:p>
  <w:p w:rsidR="00666062"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66062" w14:paraId="05B4C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666062"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66062"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666062"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666062"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666062"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66062" w:rsidP="00C82B6B" w14:textId="77777777">
                          <w:pPr>
                            <w:spacing w:before="40"/>
                            <w:jc w:val="right"/>
                            <w:rPr>
                              <w:rFonts w:ascii="Arial" w:hAnsi="Arial"/>
                              <w:b/>
                              <w:sz w:val="16"/>
                            </w:rPr>
                          </w:pPr>
                          <w:r>
                            <w:rPr>
                              <w:rFonts w:ascii="Arial" w:hAnsi="Arial"/>
                              <w:b/>
                              <w:sz w:val="16"/>
                            </w:rPr>
                            <w:t>News Media Information: 202-418-0500</w:t>
                          </w:r>
                        </w:p>
                        <w:p w:rsidR="00666062" w:rsidP="00C82B6B" w14:textId="77777777">
                          <w:pPr>
                            <w:jc w:val="right"/>
                            <w:rPr>
                              <w:rFonts w:ascii="Arial" w:hAnsi="Arial"/>
                              <w:b/>
                              <w:sz w:val="16"/>
                            </w:rPr>
                          </w:pPr>
                          <w:r>
                            <w:rPr>
                              <w:rFonts w:ascii="Arial" w:hAnsi="Arial"/>
                              <w:b/>
                              <w:sz w:val="16"/>
                            </w:rPr>
                            <w:t>Internet: www.fcc.gov</w:t>
                          </w:r>
                        </w:p>
                        <w:p w:rsidR="00666062" w:rsidP="00C82B6B" w14:textId="77777777">
                          <w:pPr>
                            <w:jc w:val="right"/>
                            <w:rPr>
                              <w:rFonts w:ascii="Arial" w:hAnsi="Arial"/>
                              <w:b/>
                              <w:sz w:val="16"/>
                            </w:rPr>
                          </w:pPr>
                          <w:r>
                            <w:rPr>
                              <w:rFonts w:ascii="Arial" w:hAnsi="Arial"/>
                              <w:b/>
                              <w:sz w:val="16"/>
                            </w:rPr>
                            <w:t>TTY: 888-835-5322</w:t>
                          </w:r>
                        </w:p>
                        <w:p w:rsidR="00666062"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666062" w:rsidP="00C82B6B" w14:paraId="07B34B57" w14:textId="77777777">
                    <w:pPr>
                      <w:spacing w:before="40"/>
                      <w:jc w:val="right"/>
                      <w:rPr>
                        <w:rFonts w:ascii="Arial" w:hAnsi="Arial"/>
                        <w:b/>
                        <w:sz w:val="16"/>
                      </w:rPr>
                    </w:pPr>
                    <w:r>
                      <w:rPr>
                        <w:rFonts w:ascii="Arial" w:hAnsi="Arial"/>
                        <w:b/>
                        <w:sz w:val="16"/>
                      </w:rPr>
                      <w:t>News Media Information: 202-418-0500</w:t>
                    </w:r>
                  </w:p>
                  <w:p w:rsidR="00666062" w:rsidP="00C82B6B" w14:paraId="045E0E71" w14:textId="77777777">
                    <w:pPr>
                      <w:jc w:val="right"/>
                      <w:rPr>
                        <w:rFonts w:ascii="Arial" w:hAnsi="Arial"/>
                        <w:b/>
                        <w:sz w:val="16"/>
                      </w:rPr>
                    </w:pPr>
                    <w:r>
                      <w:rPr>
                        <w:rFonts w:ascii="Arial" w:hAnsi="Arial"/>
                        <w:b/>
                        <w:sz w:val="16"/>
                      </w:rPr>
                      <w:t>Internet: www.fcc.gov</w:t>
                    </w:r>
                  </w:p>
                  <w:p w:rsidR="00666062" w:rsidP="00C82B6B" w14:paraId="275CC39E" w14:textId="77777777">
                    <w:pPr>
                      <w:jc w:val="right"/>
                      <w:rPr>
                        <w:rFonts w:ascii="Arial" w:hAnsi="Arial"/>
                        <w:b/>
                        <w:sz w:val="16"/>
                      </w:rPr>
                    </w:pPr>
                    <w:r>
                      <w:rPr>
                        <w:rFonts w:ascii="Arial" w:hAnsi="Arial"/>
                        <w:b/>
                        <w:sz w:val="16"/>
                      </w:rPr>
                      <w:t>TTY: 888-835-5322</w:t>
                    </w:r>
                  </w:p>
                  <w:p w:rsidR="00666062" w:rsidP="00C82B6B" w14:paraId="2CC95193" w14:textId="77777777">
                    <w:pPr>
                      <w:jc w:val="right"/>
                    </w:pPr>
                  </w:p>
                </w:txbxContent>
              </v:textbox>
            </v:shape>
          </w:pict>
        </mc:Fallback>
      </mc:AlternateContent>
    </w:r>
  </w:p>
  <w:p w:rsidR="00666062"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202E73"/>
    <w:multiLevelType w:val="hybridMultilevel"/>
    <w:tmpl w:val="A860EF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DED6284"/>
    <w:multiLevelType w:val="hybridMultilevel"/>
    <w:tmpl w:val="77B49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D83AA9"/>
    <w:multiLevelType w:val="hybridMultilevel"/>
    <w:tmpl w:val="613CB8D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247BD8"/>
    <w:multiLevelType w:val="hybridMultilevel"/>
    <w:tmpl w:val="AC1C3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CE02565"/>
    <w:multiLevelType w:val="hybridMultilevel"/>
    <w:tmpl w:val="77068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23E3509"/>
    <w:multiLevelType w:val="hybridMultilevel"/>
    <w:tmpl w:val="E7483546"/>
    <w:lvl w:ilvl="0">
      <w:start w:val="1"/>
      <w:numFmt w:val="bullet"/>
      <w:lvlText w:val="-"/>
      <w:lvlJc w:val="left"/>
      <w:pPr>
        <w:ind w:left="1080" w:hanging="360"/>
      </w:pPr>
      <w:rPr>
        <w:rFonts w:ascii="Times New Roman" w:eastAsia="Times New Roman" w:hAnsi="Times New Roman" w:cs="Times New Roman" w:hint="default"/>
        <w:color w:val="3D3D3D"/>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27A2B2B"/>
    <w:multiLevelType w:val="hybridMultilevel"/>
    <w:tmpl w:val="728E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8"/>
  </w:num>
  <w:num w:numId="4">
    <w:abstractNumId w:val="13"/>
  </w:num>
  <w:num w:numId="5">
    <w:abstractNumId w:val="7"/>
  </w:num>
  <w:num w:numId="6">
    <w:abstractNumId w:val="1"/>
  </w:num>
  <w:num w:numId="7">
    <w:abstractNumId w:val="14"/>
  </w:num>
  <w:num w:numId="8">
    <w:abstractNumId w:val="9"/>
  </w:num>
  <w:num w:numId="9">
    <w:abstractNumId w:val="11"/>
  </w:num>
  <w:num w:numId="10">
    <w:abstractNumId w:val="17"/>
  </w:num>
  <w:num w:numId="11">
    <w:abstractNumId w:val="3"/>
  </w:num>
  <w:num w:numId="12">
    <w:abstractNumId w:val="15"/>
    <w:lvlOverride w:ilvl="0">
      <w:startOverride w:val="1"/>
    </w:lvlOverride>
  </w:num>
  <w:num w:numId="13">
    <w:abstractNumId w:val="0"/>
  </w:num>
  <w:num w:numId="14">
    <w:abstractNumId w:val="15"/>
    <w:lvlOverride w:ilvl="0">
      <w:startOverride w:val="1"/>
    </w:lvlOverride>
  </w:num>
  <w:num w:numId="15">
    <w:abstractNumId w:val="10"/>
  </w:num>
  <w:num w:numId="16">
    <w:abstractNumId w:val="18"/>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46E0"/>
    <w:rsid w:val="0000620F"/>
    <w:rsid w:val="0001019D"/>
    <w:rsid w:val="00011512"/>
    <w:rsid w:val="00013A4E"/>
    <w:rsid w:val="00014C4E"/>
    <w:rsid w:val="000206CF"/>
    <w:rsid w:val="00020EF5"/>
    <w:rsid w:val="000334C6"/>
    <w:rsid w:val="00036EAE"/>
    <w:rsid w:val="00040303"/>
    <w:rsid w:val="00040AD1"/>
    <w:rsid w:val="000452D8"/>
    <w:rsid w:val="00046325"/>
    <w:rsid w:val="00050B63"/>
    <w:rsid w:val="00056D60"/>
    <w:rsid w:val="00057542"/>
    <w:rsid w:val="00057D7C"/>
    <w:rsid w:val="000601D5"/>
    <w:rsid w:val="00060F68"/>
    <w:rsid w:val="00070226"/>
    <w:rsid w:val="00070B5B"/>
    <w:rsid w:val="00071AB1"/>
    <w:rsid w:val="00072C0E"/>
    <w:rsid w:val="00075EB9"/>
    <w:rsid w:val="00080F44"/>
    <w:rsid w:val="00081168"/>
    <w:rsid w:val="0008249E"/>
    <w:rsid w:val="000856BF"/>
    <w:rsid w:val="00090AF8"/>
    <w:rsid w:val="000934DB"/>
    <w:rsid w:val="00096C6B"/>
    <w:rsid w:val="000A05FD"/>
    <w:rsid w:val="000A18EC"/>
    <w:rsid w:val="000A1AB2"/>
    <w:rsid w:val="000A52B4"/>
    <w:rsid w:val="000A55CF"/>
    <w:rsid w:val="000A59E5"/>
    <w:rsid w:val="000B71C8"/>
    <w:rsid w:val="000C0986"/>
    <w:rsid w:val="000C1C4F"/>
    <w:rsid w:val="000C27AE"/>
    <w:rsid w:val="000C42F4"/>
    <w:rsid w:val="000C4CC8"/>
    <w:rsid w:val="000C6AA7"/>
    <w:rsid w:val="000C7074"/>
    <w:rsid w:val="000C71DD"/>
    <w:rsid w:val="000D10D9"/>
    <w:rsid w:val="000D1D01"/>
    <w:rsid w:val="000D3404"/>
    <w:rsid w:val="000D5789"/>
    <w:rsid w:val="000E3657"/>
    <w:rsid w:val="000E4796"/>
    <w:rsid w:val="000E7421"/>
    <w:rsid w:val="000E7969"/>
    <w:rsid w:val="000F1D5A"/>
    <w:rsid w:val="000F255E"/>
    <w:rsid w:val="000F55E3"/>
    <w:rsid w:val="000F56C9"/>
    <w:rsid w:val="000F5C1D"/>
    <w:rsid w:val="000F5CD8"/>
    <w:rsid w:val="000F5D36"/>
    <w:rsid w:val="000F7291"/>
    <w:rsid w:val="000F7948"/>
    <w:rsid w:val="000F7F01"/>
    <w:rsid w:val="00100DF5"/>
    <w:rsid w:val="001013CD"/>
    <w:rsid w:val="001038B6"/>
    <w:rsid w:val="00104546"/>
    <w:rsid w:val="00110EFD"/>
    <w:rsid w:val="0011152B"/>
    <w:rsid w:val="00114458"/>
    <w:rsid w:val="0012286A"/>
    <w:rsid w:val="0013419B"/>
    <w:rsid w:val="00140AE5"/>
    <w:rsid w:val="001430C3"/>
    <w:rsid w:val="00143FD6"/>
    <w:rsid w:val="001449B3"/>
    <w:rsid w:val="0014764F"/>
    <w:rsid w:val="00150A04"/>
    <w:rsid w:val="001544A8"/>
    <w:rsid w:val="001555F2"/>
    <w:rsid w:val="00160FE1"/>
    <w:rsid w:val="00161E1E"/>
    <w:rsid w:val="0016458D"/>
    <w:rsid w:val="001674D5"/>
    <w:rsid w:val="00167B1D"/>
    <w:rsid w:val="0017026C"/>
    <w:rsid w:val="00170AB6"/>
    <w:rsid w:val="0017527A"/>
    <w:rsid w:val="00181C00"/>
    <w:rsid w:val="001829E9"/>
    <w:rsid w:val="00184564"/>
    <w:rsid w:val="001851D1"/>
    <w:rsid w:val="001900EE"/>
    <w:rsid w:val="00192F8C"/>
    <w:rsid w:val="00193A8F"/>
    <w:rsid w:val="00195F0C"/>
    <w:rsid w:val="001A0599"/>
    <w:rsid w:val="001A0AE0"/>
    <w:rsid w:val="001A14C4"/>
    <w:rsid w:val="001A14E2"/>
    <w:rsid w:val="001A15D5"/>
    <w:rsid w:val="001A1843"/>
    <w:rsid w:val="001A3AB6"/>
    <w:rsid w:val="001A4DD0"/>
    <w:rsid w:val="001A4E68"/>
    <w:rsid w:val="001A594F"/>
    <w:rsid w:val="001A6D14"/>
    <w:rsid w:val="001A71ED"/>
    <w:rsid w:val="001B10D2"/>
    <w:rsid w:val="001B3FD2"/>
    <w:rsid w:val="001B5E96"/>
    <w:rsid w:val="001B7EB7"/>
    <w:rsid w:val="001C270D"/>
    <w:rsid w:val="001D03F4"/>
    <w:rsid w:val="001D4913"/>
    <w:rsid w:val="001D65D2"/>
    <w:rsid w:val="001E0D0E"/>
    <w:rsid w:val="001E2DB8"/>
    <w:rsid w:val="001E57FF"/>
    <w:rsid w:val="001E7BC5"/>
    <w:rsid w:val="001F0DD4"/>
    <w:rsid w:val="001F1386"/>
    <w:rsid w:val="001F1951"/>
    <w:rsid w:val="001F351B"/>
    <w:rsid w:val="001F6CD0"/>
    <w:rsid w:val="001F70C2"/>
    <w:rsid w:val="0020154A"/>
    <w:rsid w:val="002030CB"/>
    <w:rsid w:val="002040A4"/>
    <w:rsid w:val="00211A61"/>
    <w:rsid w:val="00212659"/>
    <w:rsid w:val="00216928"/>
    <w:rsid w:val="002203EF"/>
    <w:rsid w:val="00221D22"/>
    <w:rsid w:val="00222FA6"/>
    <w:rsid w:val="00224E0C"/>
    <w:rsid w:val="00230B7B"/>
    <w:rsid w:val="00234421"/>
    <w:rsid w:val="00241AB7"/>
    <w:rsid w:val="00242CF4"/>
    <w:rsid w:val="00244066"/>
    <w:rsid w:val="00247265"/>
    <w:rsid w:val="00247970"/>
    <w:rsid w:val="00250C33"/>
    <w:rsid w:val="00252632"/>
    <w:rsid w:val="0025411A"/>
    <w:rsid w:val="00255841"/>
    <w:rsid w:val="0025700F"/>
    <w:rsid w:val="00261C87"/>
    <w:rsid w:val="0026314B"/>
    <w:rsid w:val="00283CBE"/>
    <w:rsid w:val="0028639A"/>
    <w:rsid w:val="00286611"/>
    <w:rsid w:val="00286C6D"/>
    <w:rsid w:val="002870FC"/>
    <w:rsid w:val="0028772B"/>
    <w:rsid w:val="00287F2B"/>
    <w:rsid w:val="0029082F"/>
    <w:rsid w:val="002924FC"/>
    <w:rsid w:val="002942B8"/>
    <w:rsid w:val="00295601"/>
    <w:rsid w:val="00295B89"/>
    <w:rsid w:val="002A1544"/>
    <w:rsid w:val="002A4A39"/>
    <w:rsid w:val="002A4F7F"/>
    <w:rsid w:val="002A59C2"/>
    <w:rsid w:val="002B0F99"/>
    <w:rsid w:val="002B3502"/>
    <w:rsid w:val="002B3822"/>
    <w:rsid w:val="002B4D1D"/>
    <w:rsid w:val="002B527E"/>
    <w:rsid w:val="002B538F"/>
    <w:rsid w:val="002B5497"/>
    <w:rsid w:val="002B6895"/>
    <w:rsid w:val="002B79D6"/>
    <w:rsid w:val="002D1B96"/>
    <w:rsid w:val="002D383A"/>
    <w:rsid w:val="002D4CA5"/>
    <w:rsid w:val="002D56F2"/>
    <w:rsid w:val="002E1568"/>
    <w:rsid w:val="002E4AA3"/>
    <w:rsid w:val="002F11BD"/>
    <w:rsid w:val="002F5778"/>
    <w:rsid w:val="002F707C"/>
    <w:rsid w:val="00300926"/>
    <w:rsid w:val="00300DBB"/>
    <w:rsid w:val="00303AFA"/>
    <w:rsid w:val="0030511F"/>
    <w:rsid w:val="00305A01"/>
    <w:rsid w:val="003060C8"/>
    <w:rsid w:val="00307248"/>
    <w:rsid w:val="00311E59"/>
    <w:rsid w:val="0031517F"/>
    <w:rsid w:val="00320A7D"/>
    <w:rsid w:val="0032173F"/>
    <w:rsid w:val="003229CD"/>
    <w:rsid w:val="00323080"/>
    <w:rsid w:val="003273FB"/>
    <w:rsid w:val="00327456"/>
    <w:rsid w:val="00330376"/>
    <w:rsid w:val="00331385"/>
    <w:rsid w:val="003374B7"/>
    <w:rsid w:val="003378B0"/>
    <w:rsid w:val="003423D8"/>
    <w:rsid w:val="00342CC1"/>
    <w:rsid w:val="00347F6D"/>
    <w:rsid w:val="00351B00"/>
    <w:rsid w:val="00354A05"/>
    <w:rsid w:val="00355BDB"/>
    <w:rsid w:val="00360A10"/>
    <w:rsid w:val="00360E76"/>
    <w:rsid w:val="0036407D"/>
    <w:rsid w:val="00364F71"/>
    <w:rsid w:val="003652D5"/>
    <w:rsid w:val="00372D73"/>
    <w:rsid w:val="003737F8"/>
    <w:rsid w:val="00375D6F"/>
    <w:rsid w:val="00376187"/>
    <w:rsid w:val="00382B6E"/>
    <w:rsid w:val="00382EC4"/>
    <w:rsid w:val="00393CE6"/>
    <w:rsid w:val="003947F3"/>
    <w:rsid w:val="00394E1A"/>
    <w:rsid w:val="003A0815"/>
    <w:rsid w:val="003A1530"/>
    <w:rsid w:val="003A2CB2"/>
    <w:rsid w:val="003A362A"/>
    <w:rsid w:val="003A419A"/>
    <w:rsid w:val="003A71A6"/>
    <w:rsid w:val="003A7F17"/>
    <w:rsid w:val="003B1C66"/>
    <w:rsid w:val="003B35D9"/>
    <w:rsid w:val="003B4CAD"/>
    <w:rsid w:val="003C05F4"/>
    <w:rsid w:val="003C68E2"/>
    <w:rsid w:val="003C6AF0"/>
    <w:rsid w:val="003D13CE"/>
    <w:rsid w:val="003D147A"/>
    <w:rsid w:val="003D177F"/>
    <w:rsid w:val="003D1ED3"/>
    <w:rsid w:val="003D1FBF"/>
    <w:rsid w:val="003D237D"/>
    <w:rsid w:val="003E1F37"/>
    <w:rsid w:val="003E31E3"/>
    <w:rsid w:val="003E4B09"/>
    <w:rsid w:val="003E4B3E"/>
    <w:rsid w:val="003E4DFE"/>
    <w:rsid w:val="003E54FB"/>
    <w:rsid w:val="003E7475"/>
    <w:rsid w:val="003E7EED"/>
    <w:rsid w:val="003F22CB"/>
    <w:rsid w:val="003F736B"/>
    <w:rsid w:val="003F75B6"/>
    <w:rsid w:val="003F7D5D"/>
    <w:rsid w:val="00405687"/>
    <w:rsid w:val="00407565"/>
    <w:rsid w:val="00412A51"/>
    <w:rsid w:val="00416EF8"/>
    <w:rsid w:val="00420D7E"/>
    <w:rsid w:val="00422C7B"/>
    <w:rsid w:val="0042300C"/>
    <w:rsid w:val="00423497"/>
    <w:rsid w:val="00424EA4"/>
    <w:rsid w:val="0042536A"/>
    <w:rsid w:val="004308EC"/>
    <w:rsid w:val="004309E4"/>
    <w:rsid w:val="004327CD"/>
    <w:rsid w:val="00433691"/>
    <w:rsid w:val="00433D2E"/>
    <w:rsid w:val="0043756B"/>
    <w:rsid w:val="004433D0"/>
    <w:rsid w:val="00445112"/>
    <w:rsid w:val="0044515E"/>
    <w:rsid w:val="00447BB5"/>
    <w:rsid w:val="0045124D"/>
    <w:rsid w:val="00451932"/>
    <w:rsid w:val="00453DB9"/>
    <w:rsid w:val="00454024"/>
    <w:rsid w:val="00454FBA"/>
    <w:rsid w:val="0045756D"/>
    <w:rsid w:val="00461476"/>
    <w:rsid w:val="00463D78"/>
    <w:rsid w:val="0046587A"/>
    <w:rsid w:val="00467233"/>
    <w:rsid w:val="00472DF2"/>
    <w:rsid w:val="004768D7"/>
    <w:rsid w:val="0048374C"/>
    <w:rsid w:val="0048420C"/>
    <w:rsid w:val="004844EC"/>
    <w:rsid w:val="00485239"/>
    <w:rsid w:val="0048613B"/>
    <w:rsid w:val="00487EA2"/>
    <w:rsid w:val="00493A8B"/>
    <w:rsid w:val="00497604"/>
    <w:rsid w:val="00497A33"/>
    <w:rsid w:val="00497D34"/>
    <w:rsid w:val="004A3251"/>
    <w:rsid w:val="004B1718"/>
    <w:rsid w:val="004B2413"/>
    <w:rsid w:val="004B4BE4"/>
    <w:rsid w:val="004B708F"/>
    <w:rsid w:val="004B76D4"/>
    <w:rsid w:val="004C5E6F"/>
    <w:rsid w:val="004C74C4"/>
    <w:rsid w:val="004C7E01"/>
    <w:rsid w:val="004D18BD"/>
    <w:rsid w:val="004D37F6"/>
    <w:rsid w:val="004D4E35"/>
    <w:rsid w:val="004D631A"/>
    <w:rsid w:val="004E3172"/>
    <w:rsid w:val="004E4DA1"/>
    <w:rsid w:val="004E68A1"/>
    <w:rsid w:val="004F1616"/>
    <w:rsid w:val="004F1A4A"/>
    <w:rsid w:val="004F4464"/>
    <w:rsid w:val="00504E75"/>
    <w:rsid w:val="0050556A"/>
    <w:rsid w:val="00506CC6"/>
    <w:rsid w:val="00507487"/>
    <w:rsid w:val="005100E8"/>
    <w:rsid w:val="005100FC"/>
    <w:rsid w:val="0051289D"/>
    <w:rsid w:val="00513E15"/>
    <w:rsid w:val="0051491A"/>
    <w:rsid w:val="005154F4"/>
    <w:rsid w:val="00517DCA"/>
    <w:rsid w:val="00525035"/>
    <w:rsid w:val="00530BDD"/>
    <w:rsid w:val="00534C8C"/>
    <w:rsid w:val="005405BD"/>
    <w:rsid w:val="005418CE"/>
    <w:rsid w:val="005515FF"/>
    <w:rsid w:val="00552BE3"/>
    <w:rsid w:val="0055614C"/>
    <w:rsid w:val="00556C58"/>
    <w:rsid w:val="005608EC"/>
    <w:rsid w:val="00561F3B"/>
    <w:rsid w:val="00564D59"/>
    <w:rsid w:val="00565DF6"/>
    <w:rsid w:val="0056640A"/>
    <w:rsid w:val="0056743F"/>
    <w:rsid w:val="005720CC"/>
    <w:rsid w:val="005811B0"/>
    <w:rsid w:val="00581B82"/>
    <w:rsid w:val="0058411F"/>
    <w:rsid w:val="00584A04"/>
    <w:rsid w:val="00592CC6"/>
    <w:rsid w:val="005938AE"/>
    <w:rsid w:val="005A1C01"/>
    <w:rsid w:val="005A2684"/>
    <w:rsid w:val="005A2936"/>
    <w:rsid w:val="005A2F02"/>
    <w:rsid w:val="005A3CB3"/>
    <w:rsid w:val="005A58A2"/>
    <w:rsid w:val="005B1556"/>
    <w:rsid w:val="005C0FF2"/>
    <w:rsid w:val="005C5237"/>
    <w:rsid w:val="005C666C"/>
    <w:rsid w:val="005D32A6"/>
    <w:rsid w:val="005D5A36"/>
    <w:rsid w:val="005D6879"/>
    <w:rsid w:val="005D6A47"/>
    <w:rsid w:val="005D709F"/>
    <w:rsid w:val="005E00A6"/>
    <w:rsid w:val="005E12D9"/>
    <w:rsid w:val="005E2075"/>
    <w:rsid w:val="005E20E0"/>
    <w:rsid w:val="005E3A90"/>
    <w:rsid w:val="005E418A"/>
    <w:rsid w:val="005E6BDD"/>
    <w:rsid w:val="005F0EC8"/>
    <w:rsid w:val="005F0FBD"/>
    <w:rsid w:val="005F4248"/>
    <w:rsid w:val="005F4A7E"/>
    <w:rsid w:val="00602CE0"/>
    <w:rsid w:val="006037F3"/>
    <w:rsid w:val="00604428"/>
    <w:rsid w:val="00610626"/>
    <w:rsid w:val="00613359"/>
    <w:rsid w:val="006134A2"/>
    <w:rsid w:val="00613DDD"/>
    <w:rsid w:val="00613EED"/>
    <w:rsid w:val="00614374"/>
    <w:rsid w:val="00616D02"/>
    <w:rsid w:val="0061782F"/>
    <w:rsid w:val="006219EB"/>
    <w:rsid w:val="006257C4"/>
    <w:rsid w:val="00626CA2"/>
    <w:rsid w:val="00627191"/>
    <w:rsid w:val="00627349"/>
    <w:rsid w:val="00630CD4"/>
    <w:rsid w:val="00633D8C"/>
    <w:rsid w:val="00635C51"/>
    <w:rsid w:val="00636A65"/>
    <w:rsid w:val="00643076"/>
    <w:rsid w:val="006503E5"/>
    <w:rsid w:val="00650CD9"/>
    <w:rsid w:val="00654766"/>
    <w:rsid w:val="00662D93"/>
    <w:rsid w:val="00665E0B"/>
    <w:rsid w:val="00666062"/>
    <w:rsid w:val="0066645D"/>
    <w:rsid w:val="00667226"/>
    <w:rsid w:val="00675215"/>
    <w:rsid w:val="00676F7D"/>
    <w:rsid w:val="00681B21"/>
    <w:rsid w:val="00683775"/>
    <w:rsid w:val="00684676"/>
    <w:rsid w:val="0068482C"/>
    <w:rsid w:val="0068684A"/>
    <w:rsid w:val="006906C2"/>
    <w:rsid w:val="0069233E"/>
    <w:rsid w:val="0069658C"/>
    <w:rsid w:val="00696C61"/>
    <w:rsid w:val="006A1A25"/>
    <w:rsid w:val="006A28EA"/>
    <w:rsid w:val="006A4DBA"/>
    <w:rsid w:val="006A7511"/>
    <w:rsid w:val="006A7D41"/>
    <w:rsid w:val="006B56FE"/>
    <w:rsid w:val="006C0392"/>
    <w:rsid w:val="006C18AD"/>
    <w:rsid w:val="006C249D"/>
    <w:rsid w:val="006D307F"/>
    <w:rsid w:val="006D313F"/>
    <w:rsid w:val="006E163D"/>
    <w:rsid w:val="006E2755"/>
    <w:rsid w:val="006E276E"/>
    <w:rsid w:val="006E2E2A"/>
    <w:rsid w:val="006E2E87"/>
    <w:rsid w:val="006E5696"/>
    <w:rsid w:val="006E589B"/>
    <w:rsid w:val="006E5C64"/>
    <w:rsid w:val="006F065E"/>
    <w:rsid w:val="006F0DC5"/>
    <w:rsid w:val="006F40DC"/>
    <w:rsid w:val="006F6AEB"/>
    <w:rsid w:val="006F75B6"/>
    <w:rsid w:val="0070084D"/>
    <w:rsid w:val="007037C8"/>
    <w:rsid w:val="007041B6"/>
    <w:rsid w:val="00705D8A"/>
    <w:rsid w:val="0071028A"/>
    <w:rsid w:val="007155F9"/>
    <w:rsid w:val="00716497"/>
    <w:rsid w:val="007172DC"/>
    <w:rsid w:val="0072067F"/>
    <w:rsid w:val="0072371C"/>
    <w:rsid w:val="00735426"/>
    <w:rsid w:val="0073739C"/>
    <w:rsid w:val="00745706"/>
    <w:rsid w:val="00745F62"/>
    <w:rsid w:val="00746A21"/>
    <w:rsid w:val="00747295"/>
    <w:rsid w:val="00751640"/>
    <w:rsid w:val="00752750"/>
    <w:rsid w:val="0075666B"/>
    <w:rsid w:val="0075697F"/>
    <w:rsid w:val="00756CC8"/>
    <w:rsid w:val="00757307"/>
    <w:rsid w:val="00765C74"/>
    <w:rsid w:val="00773E64"/>
    <w:rsid w:val="0077401A"/>
    <w:rsid w:val="00774201"/>
    <w:rsid w:val="007819C9"/>
    <w:rsid w:val="00782D67"/>
    <w:rsid w:val="00784939"/>
    <w:rsid w:val="00785EE8"/>
    <w:rsid w:val="00787C59"/>
    <w:rsid w:val="00787E73"/>
    <w:rsid w:val="00790F45"/>
    <w:rsid w:val="00795804"/>
    <w:rsid w:val="0079582F"/>
    <w:rsid w:val="0079611B"/>
    <w:rsid w:val="007A3F87"/>
    <w:rsid w:val="007A5541"/>
    <w:rsid w:val="007A6655"/>
    <w:rsid w:val="007A72E9"/>
    <w:rsid w:val="007A79B9"/>
    <w:rsid w:val="007B0522"/>
    <w:rsid w:val="007B0C2D"/>
    <w:rsid w:val="007B1E5E"/>
    <w:rsid w:val="007B2308"/>
    <w:rsid w:val="007B6801"/>
    <w:rsid w:val="007C13D9"/>
    <w:rsid w:val="007C1CD6"/>
    <w:rsid w:val="007C2E5E"/>
    <w:rsid w:val="007C7BDD"/>
    <w:rsid w:val="007D0802"/>
    <w:rsid w:val="007D2545"/>
    <w:rsid w:val="007D49B9"/>
    <w:rsid w:val="007D4DB3"/>
    <w:rsid w:val="007E0E23"/>
    <w:rsid w:val="007E2248"/>
    <w:rsid w:val="007E3034"/>
    <w:rsid w:val="007E4B2C"/>
    <w:rsid w:val="007E783A"/>
    <w:rsid w:val="007F0BA1"/>
    <w:rsid w:val="007F38C9"/>
    <w:rsid w:val="007F3BAA"/>
    <w:rsid w:val="00803518"/>
    <w:rsid w:val="00803B14"/>
    <w:rsid w:val="00803B15"/>
    <w:rsid w:val="0080419F"/>
    <w:rsid w:val="00804BE3"/>
    <w:rsid w:val="00805232"/>
    <w:rsid w:val="00807EC7"/>
    <w:rsid w:val="00811B43"/>
    <w:rsid w:val="008172A5"/>
    <w:rsid w:val="008202FD"/>
    <w:rsid w:val="00821886"/>
    <w:rsid w:val="00824A01"/>
    <w:rsid w:val="008260AC"/>
    <w:rsid w:val="00833B2A"/>
    <w:rsid w:val="008424BB"/>
    <w:rsid w:val="00843679"/>
    <w:rsid w:val="00847A16"/>
    <w:rsid w:val="008523F5"/>
    <w:rsid w:val="00852480"/>
    <w:rsid w:val="00852AFF"/>
    <w:rsid w:val="008543EF"/>
    <w:rsid w:val="008550CF"/>
    <w:rsid w:val="008560FB"/>
    <w:rsid w:val="00856A38"/>
    <w:rsid w:val="0085743D"/>
    <w:rsid w:val="00857BC4"/>
    <w:rsid w:val="00862ADE"/>
    <w:rsid w:val="00864232"/>
    <w:rsid w:val="008647F9"/>
    <w:rsid w:val="00864E02"/>
    <w:rsid w:val="0086508B"/>
    <w:rsid w:val="008652D2"/>
    <w:rsid w:val="00866CF5"/>
    <w:rsid w:val="00870260"/>
    <w:rsid w:val="00874D7A"/>
    <w:rsid w:val="00875949"/>
    <w:rsid w:val="00877BC2"/>
    <w:rsid w:val="00892B83"/>
    <w:rsid w:val="00897AF8"/>
    <w:rsid w:val="008A2CFD"/>
    <w:rsid w:val="008A4273"/>
    <w:rsid w:val="008A53C5"/>
    <w:rsid w:val="008A6A97"/>
    <w:rsid w:val="008B012C"/>
    <w:rsid w:val="008C62E2"/>
    <w:rsid w:val="008C6B59"/>
    <w:rsid w:val="008D138D"/>
    <w:rsid w:val="008D21EA"/>
    <w:rsid w:val="008D26F5"/>
    <w:rsid w:val="008D3B75"/>
    <w:rsid w:val="008D497C"/>
    <w:rsid w:val="008D4D4A"/>
    <w:rsid w:val="008D74C8"/>
    <w:rsid w:val="008E220E"/>
    <w:rsid w:val="008E3950"/>
    <w:rsid w:val="008E3D13"/>
    <w:rsid w:val="008E48BF"/>
    <w:rsid w:val="008E4FB8"/>
    <w:rsid w:val="008E68A2"/>
    <w:rsid w:val="008E6A8E"/>
    <w:rsid w:val="008F0135"/>
    <w:rsid w:val="008F11FD"/>
    <w:rsid w:val="008F2F86"/>
    <w:rsid w:val="008F3AEA"/>
    <w:rsid w:val="008F6674"/>
    <w:rsid w:val="008F6C40"/>
    <w:rsid w:val="009015C5"/>
    <w:rsid w:val="009027DD"/>
    <w:rsid w:val="00904144"/>
    <w:rsid w:val="00910DC7"/>
    <w:rsid w:val="0091196C"/>
    <w:rsid w:val="00912815"/>
    <w:rsid w:val="00917BD2"/>
    <w:rsid w:val="009206DA"/>
    <w:rsid w:val="00921998"/>
    <w:rsid w:val="00922139"/>
    <w:rsid w:val="00923522"/>
    <w:rsid w:val="00923E8B"/>
    <w:rsid w:val="00930B0F"/>
    <w:rsid w:val="00931A10"/>
    <w:rsid w:val="0093217B"/>
    <w:rsid w:val="0094275E"/>
    <w:rsid w:val="009428F6"/>
    <w:rsid w:val="00947961"/>
    <w:rsid w:val="00955EEE"/>
    <w:rsid w:val="00960268"/>
    <w:rsid w:val="009629B3"/>
    <w:rsid w:val="00965D17"/>
    <w:rsid w:val="00967ED7"/>
    <w:rsid w:val="009723AD"/>
    <w:rsid w:val="00972A8F"/>
    <w:rsid w:val="009750F8"/>
    <w:rsid w:val="009751EF"/>
    <w:rsid w:val="00976D00"/>
    <w:rsid w:val="009822CA"/>
    <w:rsid w:val="00984F4F"/>
    <w:rsid w:val="00992480"/>
    <w:rsid w:val="00994E43"/>
    <w:rsid w:val="00996E42"/>
    <w:rsid w:val="009A178A"/>
    <w:rsid w:val="009A4796"/>
    <w:rsid w:val="009A49BD"/>
    <w:rsid w:val="009A4B1D"/>
    <w:rsid w:val="009A5B24"/>
    <w:rsid w:val="009B5FE5"/>
    <w:rsid w:val="009C2A8F"/>
    <w:rsid w:val="009C2B58"/>
    <w:rsid w:val="009C30D3"/>
    <w:rsid w:val="009C404C"/>
    <w:rsid w:val="009C6424"/>
    <w:rsid w:val="009C6A8C"/>
    <w:rsid w:val="009D6289"/>
    <w:rsid w:val="009D6FFB"/>
    <w:rsid w:val="009D762B"/>
    <w:rsid w:val="009E0090"/>
    <w:rsid w:val="009E107D"/>
    <w:rsid w:val="009E14C0"/>
    <w:rsid w:val="009E1CDF"/>
    <w:rsid w:val="009E22D7"/>
    <w:rsid w:val="009E4850"/>
    <w:rsid w:val="009E7126"/>
    <w:rsid w:val="009F1264"/>
    <w:rsid w:val="009F3DE0"/>
    <w:rsid w:val="009F3EF4"/>
    <w:rsid w:val="009F55A2"/>
    <w:rsid w:val="009F5DEB"/>
    <w:rsid w:val="009F7C5D"/>
    <w:rsid w:val="00A017D1"/>
    <w:rsid w:val="00A0225F"/>
    <w:rsid w:val="00A06A04"/>
    <w:rsid w:val="00A06E1C"/>
    <w:rsid w:val="00A12D2F"/>
    <w:rsid w:val="00A15C61"/>
    <w:rsid w:val="00A16BAB"/>
    <w:rsid w:val="00A16D1B"/>
    <w:rsid w:val="00A20598"/>
    <w:rsid w:val="00A21427"/>
    <w:rsid w:val="00A23EBD"/>
    <w:rsid w:val="00A34B57"/>
    <w:rsid w:val="00A34D4D"/>
    <w:rsid w:val="00A51BB9"/>
    <w:rsid w:val="00A5291B"/>
    <w:rsid w:val="00A536B0"/>
    <w:rsid w:val="00A56310"/>
    <w:rsid w:val="00A619BC"/>
    <w:rsid w:val="00A62903"/>
    <w:rsid w:val="00A62A23"/>
    <w:rsid w:val="00A638FD"/>
    <w:rsid w:val="00A70BA4"/>
    <w:rsid w:val="00A73AD0"/>
    <w:rsid w:val="00A752DE"/>
    <w:rsid w:val="00A7610A"/>
    <w:rsid w:val="00A76475"/>
    <w:rsid w:val="00A77FAD"/>
    <w:rsid w:val="00A821B1"/>
    <w:rsid w:val="00A83E0C"/>
    <w:rsid w:val="00A83FCA"/>
    <w:rsid w:val="00A8405C"/>
    <w:rsid w:val="00A840DF"/>
    <w:rsid w:val="00A8513F"/>
    <w:rsid w:val="00A90F3C"/>
    <w:rsid w:val="00A94804"/>
    <w:rsid w:val="00A94B87"/>
    <w:rsid w:val="00A97A5B"/>
    <w:rsid w:val="00AA2C5C"/>
    <w:rsid w:val="00AA42D1"/>
    <w:rsid w:val="00AA6B29"/>
    <w:rsid w:val="00AB174F"/>
    <w:rsid w:val="00AB2EED"/>
    <w:rsid w:val="00AB37FB"/>
    <w:rsid w:val="00AB49D1"/>
    <w:rsid w:val="00AB57C0"/>
    <w:rsid w:val="00AB70B2"/>
    <w:rsid w:val="00AB7CAD"/>
    <w:rsid w:val="00AC0154"/>
    <w:rsid w:val="00AC22DB"/>
    <w:rsid w:val="00AC7D3C"/>
    <w:rsid w:val="00AD27E9"/>
    <w:rsid w:val="00AD3946"/>
    <w:rsid w:val="00AD3D8A"/>
    <w:rsid w:val="00AD4C15"/>
    <w:rsid w:val="00AD536E"/>
    <w:rsid w:val="00AD644E"/>
    <w:rsid w:val="00AE0DB8"/>
    <w:rsid w:val="00AE2FD1"/>
    <w:rsid w:val="00AE404C"/>
    <w:rsid w:val="00AE7C14"/>
    <w:rsid w:val="00AF1288"/>
    <w:rsid w:val="00B061A1"/>
    <w:rsid w:val="00B10394"/>
    <w:rsid w:val="00B150B5"/>
    <w:rsid w:val="00B165F5"/>
    <w:rsid w:val="00B16623"/>
    <w:rsid w:val="00B178C3"/>
    <w:rsid w:val="00B20BC5"/>
    <w:rsid w:val="00B22D16"/>
    <w:rsid w:val="00B237DB"/>
    <w:rsid w:val="00B25566"/>
    <w:rsid w:val="00B25997"/>
    <w:rsid w:val="00B26AB0"/>
    <w:rsid w:val="00B3009E"/>
    <w:rsid w:val="00B34CFF"/>
    <w:rsid w:val="00B36018"/>
    <w:rsid w:val="00B429DC"/>
    <w:rsid w:val="00B45B0E"/>
    <w:rsid w:val="00B46183"/>
    <w:rsid w:val="00B462BA"/>
    <w:rsid w:val="00B47E31"/>
    <w:rsid w:val="00B50133"/>
    <w:rsid w:val="00B519FB"/>
    <w:rsid w:val="00B51A48"/>
    <w:rsid w:val="00B5443A"/>
    <w:rsid w:val="00B55E92"/>
    <w:rsid w:val="00B56A72"/>
    <w:rsid w:val="00B6239E"/>
    <w:rsid w:val="00B63D49"/>
    <w:rsid w:val="00B64659"/>
    <w:rsid w:val="00B67BC1"/>
    <w:rsid w:val="00B7162A"/>
    <w:rsid w:val="00B73811"/>
    <w:rsid w:val="00B73A61"/>
    <w:rsid w:val="00B748F4"/>
    <w:rsid w:val="00B818FE"/>
    <w:rsid w:val="00B81C0C"/>
    <w:rsid w:val="00B8283F"/>
    <w:rsid w:val="00B83C99"/>
    <w:rsid w:val="00B85007"/>
    <w:rsid w:val="00B87500"/>
    <w:rsid w:val="00B92FE0"/>
    <w:rsid w:val="00B9485E"/>
    <w:rsid w:val="00B9492E"/>
    <w:rsid w:val="00B973E4"/>
    <w:rsid w:val="00BA088D"/>
    <w:rsid w:val="00BA130D"/>
    <w:rsid w:val="00BA1A80"/>
    <w:rsid w:val="00BA455A"/>
    <w:rsid w:val="00BA4874"/>
    <w:rsid w:val="00BB4FD5"/>
    <w:rsid w:val="00BC2306"/>
    <w:rsid w:val="00BC2F58"/>
    <w:rsid w:val="00BC3AD2"/>
    <w:rsid w:val="00BC52AD"/>
    <w:rsid w:val="00BC5D3F"/>
    <w:rsid w:val="00BD012E"/>
    <w:rsid w:val="00BD3EE1"/>
    <w:rsid w:val="00BE22E9"/>
    <w:rsid w:val="00BE2E8B"/>
    <w:rsid w:val="00BE346A"/>
    <w:rsid w:val="00BE5CF7"/>
    <w:rsid w:val="00BE6F59"/>
    <w:rsid w:val="00BF0AF0"/>
    <w:rsid w:val="00C013A4"/>
    <w:rsid w:val="00C01570"/>
    <w:rsid w:val="00C02180"/>
    <w:rsid w:val="00C03BB7"/>
    <w:rsid w:val="00C05AFD"/>
    <w:rsid w:val="00C077CE"/>
    <w:rsid w:val="00C10074"/>
    <w:rsid w:val="00C11C6E"/>
    <w:rsid w:val="00C16804"/>
    <w:rsid w:val="00C179E2"/>
    <w:rsid w:val="00C2039B"/>
    <w:rsid w:val="00C239D0"/>
    <w:rsid w:val="00C25EF3"/>
    <w:rsid w:val="00C26CF3"/>
    <w:rsid w:val="00C26DB5"/>
    <w:rsid w:val="00C316FF"/>
    <w:rsid w:val="00C324DA"/>
    <w:rsid w:val="00C33F41"/>
    <w:rsid w:val="00C368CA"/>
    <w:rsid w:val="00C37A2D"/>
    <w:rsid w:val="00C42F4B"/>
    <w:rsid w:val="00C44C4B"/>
    <w:rsid w:val="00C44D3F"/>
    <w:rsid w:val="00C45DE1"/>
    <w:rsid w:val="00C46C6C"/>
    <w:rsid w:val="00C4716E"/>
    <w:rsid w:val="00C4742B"/>
    <w:rsid w:val="00C50080"/>
    <w:rsid w:val="00C502B4"/>
    <w:rsid w:val="00C502C6"/>
    <w:rsid w:val="00C512DC"/>
    <w:rsid w:val="00C52DDC"/>
    <w:rsid w:val="00C53064"/>
    <w:rsid w:val="00C53B13"/>
    <w:rsid w:val="00C54B9D"/>
    <w:rsid w:val="00C57BB4"/>
    <w:rsid w:val="00C62F1C"/>
    <w:rsid w:val="00C63AEC"/>
    <w:rsid w:val="00C66530"/>
    <w:rsid w:val="00C66E73"/>
    <w:rsid w:val="00C7415F"/>
    <w:rsid w:val="00C745BE"/>
    <w:rsid w:val="00C74CE4"/>
    <w:rsid w:val="00C77EEF"/>
    <w:rsid w:val="00C802DA"/>
    <w:rsid w:val="00C82B6B"/>
    <w:rsid w:val="00C82E9F"/>
    <w:rsid w:val="00C953A0"/>
    <w:rsid w:val="00C96CB6"/>
    <w:rsid w:val="00CA0593"/>
    <w:rsid w:val="00CA1299"/>
    <w:rsid w:val="00CA18F0"/>
    <w:rsid w:val="00CA76AD"/>
    <w:rsid w:val="00CB163C"/>
    <w:rsid w:val="00CB23B1"/>
    <w:rsid w:val="00CB4F96"/>
    <w:rsid w:val="00CC225E"/>
    <w:rsid w:val="00CC4431"/>
    <w:rsid w:val="00CC67C6"/>
    <w:rsid w:val="00CD0521"/>
    <w:rsid w:val="00CD05F4"/>
    <w:rsid w:val="00CD4699"/>
    <w:rsid w:val="00CD6023"/>
    <w:rsid w:val="00CD6BBD"/>
    <w:rsid w:val="00CD7699"/>
    <w:rsid w:val="00CE25A2"/>
    <w:rsid w:val="00CE5A63"/>
    <w:rsid w:val="00CE74BF"/>
    <w:rsid w:val="00CF12ED"/>
    <w:rsid w:val="00CF3FFA"/>
    <w:rsid w:val="00CF4862"/>
    <w:rsid w:val="00CF497D"/>
    <w:rsid w:val="00CF623D"/>
    <w:rsid w:val="00CF782A"/>
    <w:rsid w:val="00CF7ECD"/>
    <w:rsid w:val="00D0000B"/>
    <w:rsid w:val="00D01819"/>
    <w:rsid w:val="00D050C3"/>
    <w:rsid w:val="00D05FA0"/>
    <w:rsid w:val="00D07879"/>
    <w:rsid w:val="00D07C29"/>
    <w:rsid w:val="00D10FCA"/>
    <w:rsid w:val="00D1255A"/>
    <w:rsid w:val="00D12BFE"/>
    <w:rsid w:val="00D13261"/>
    <w:rsid w:val="00D152FC"/>
    <w:rsid w:val="00D159BE"/>
    <w:rsid w:val="00D17CED"/>
    <w:rsid w:val="00D17EF5"/>
    <w:rsid w:val="00D21500"/>
    <w:rsid w:val="00D23823"/>
    <w:rsid w:val="00D23929"/>
    <w:rsid w:val="00D24972"/>
    <w:rsid w:val="00D2699C"/>
    <w:rsid w:val="00D2744A"/>
    <w:rsid w:val="00D27C78"/>
    <w:rsid w:val="00D33AF9"/>
    <w:rsid w:val="00D36F8C"/>
    <w:rsid w:val="00D426F7"/>
    <w:rsid w:val="00D438F0"/>
    <w:rsid w:val="00D441CA"/>
    <w:rsid w:val="00D442F7"/>
    <w:rsid w:val="00D44CF5"/>
    <w:rsid w:val="00D44F1C"/>
    <w:rsid w:val="00D508C4"/>
    <w:rsid w:val="00D57D03"/>
    <w:rsid w:val="00D57F6A"/>
    <w:rsid w:val="00D64C89"/>
    <w:rsid w:val="00D65140"/>
    <w:rsid w:val="00D66EF5"/>
    <w:rsid w:val="00D67DFB"/>
    <w:rsid w:val="00D67FAC"/>
    <w:rsid w:val="00D732F9"/>
    <w:rsid w:val="00D734C2"/>
    <w:rsid w:val="00D73704"/>
    <w:rsid w:val="00D748F8"/>
    <w:rsid w:val="00D766B4"/>
    <w:rsid w:val="00D84757"/>
    <w:rsid w:val="00D85D13"/>
    <w:rsid w:val="00D919CC"/>
    <w:rsid w:val="00DA090D"/>
    <w:rsid w:val="00DA13DB"/>
    <w:rsid w:val="00DA1FBC"/>
    <w:rsid w:val="00DA2B85"/>
    <w:rsid w:val="00DA37CE"/>
    <w:rsid w:val="00DB00D2"/>
    <w:rsid w:val="00DB2ACD"/>
    <w:rsid w:val="00DB47CA"/>
    <w:rsid w:val="00DB646F"/>
    <w:rsid w:val="00DC3F5E"/>
    <w:rsid w:val="00DC408B"/>
    <w:rsid w:val="00DC4DAE"/>
    <w:rsid w:val="00DC4FA6"/>
    <w:rsid w:val="00DC5AC8"/>
    <w:rsid w:val="00DC5E12"/>
    <w:rsid w:val="00DD2099"/>
    <w:rsid w:val="00DD2786"/>
    <w:rsid w:val="00DD27D9"/>
    <w:rsid w:val="00DD564E"/>
    <w:rsid w:val="00DD5B31"/>
    <w:rsid w:val="00DD60AE"/>
    <w:rsid w:val="00DE0092"/>
    <w:rsid w:val="00DE1342"/>
    <w:rsid w:val="00DE2C8A"/>
    <w:rsid w:val="00DE4317"/>
    <w:rsid w:val="00DE5413"/>
    <w:rsid w:val="00DE6BA3"/>
    <w:rsid w:val="00DF1520"/>
    <w:rsid w:val="00DF2759"/>
    <w:rsid w:val="00DF5ADD"/>
    <w:rsid w:val="00DF641E"/>
    <w:rsid w:val="00E01F2A"/>
    <w:rsid w:val="00E03618"/>
    <w:rsid w:val="00E04DFA"/>
    <w:rsid w:val="00E10025"/>
    <w:rsid w:val="00E127F7"/>
    <w:rsid w:val="00E12D42"/>
    <w:rsid w:val="00E14C4B"/>
    <w:rsid w:val="00E1597F"/>
    <w:rsid w:val="00E20B8E"/>
    <w:rsid w:val="00E20C16"/>
    <w:rsid w:val="00E21B9F"/>
    <w:rsid w:val="00E21F4D"/>
    <w:rsid w:val="00E245E9"/>
    <w:rsid w:val="00E3285C"/>
    <w:rsid w:val="00E50C68"/>
    <w:rsid w:val="00E512EC"/>
    <w:rsid w:val="00E5154B"/>
    <w:rsid w:val="00E52E81"/>
    <w:rsid w:val="00E577DA"/>
    <w:rsid w:val="00E578C3"/>
    <w:rsid w:val="00E6051D"/>
    <w:rsid w:val="00E6518F"/>
    <w:rsid w:val="00E66BE1"/>
    <w:rsid w:val="00E71A6D"/>
    <w:rsid w:val="00E71C91"/>
    <w:rsid w:val="00E71E31"/>
    <w:rsid w:val="00E73C5D"/>
    <w:rsid w:val="00E743FE"/>
    <w:rsid w:val="00E80BA3"/>
    <w:rsid w:val="00E82CA2"/>
    <w:rsid w:val="00E8475E"/>
    <w:rsid w:val="00E849C2"/>
    <w:rsid w:val="00E87EA3"/>
    <w:rsid w:val="00E9034D"/>
    <w:rsid w:val="00E92098"/>
    <w:rsid w:val="00E941B9"/>
    <w:rsid w:val="00E94F9D"/>
    <w:rsid w:val="00E96A30"/>
    <w:rsid w:val="00E96BE8"/>
    <w:rsid w:val="00EA1045"/>
    <w:rsid w:val="00EA192C"/>
    <w:rsid w:val="00EA29FE"/>
    <w:rsid w:val="00EA3E19"/>
    <w:rsid w:val="00EA3E6B"/>
    <w:rsid w:val="00EA59D8"/>
    <w:rsid w:val="00EA6CA5"/>
    <w:rsid w:val="00EB0ACB"/>
    <w:rsid w:val="00EB244F"/>
    <w:rsid w:val="00EB65AC"/>
    <w:rsid w:val="00EC22FB"/>
    <w:rsid w:val="00EC340E"/>
    <w:rsid w:val="00EC3BC3"/>
    <w:rsid w:val="00ED340B"/>
    <w:rsid w:val="00ED5BE7"/>
    <w:rsid w:val="00ED6DE8"/>
    <w:rsid w:val="00ED7BFF"/>
    <w:rsid w:val="00EE2B35"/>
    <w:rsid w:val="00EE3D8D"/>
    <w:rsid w:val="00EE6473"/>
    <w:rsid w:val="00EE7942"/>
    <w:rsid w:val="00EF144C"/>
    <w:rsid w:val="00EF59E1"/>
    <w:rsid w:val="00EF5D8C"/>
    <w:rsid w:val="00F0533E"/>
    <w:rsid w:val="00F05D3A"/>
    <w:rsid w:val="00F062C6"/>
    <w:rsid w:val="00F10B85"/>
    <w:rsid w:val="00F113C4"/>
    <w:rsid w:val="00F154C1"/>
    <w:rsid w:val="00F15C9A"/>
    <w:rsid w:val="00F15D64"/>
    <w:rsid w:val="00F22C14"/>
    <w:rsid w:val="00F232A1"/>
    <w:rsid w:val="00F27C2E"/>
    <w:rsid w:val="00F303DE"/>
    <w:rsid w:val="00F30C0E"/>
    <w:rsid w:val="00F314C2"/>
    <w:rsid w:val="00F35F0D"/>
    <w:rsid w:val="00F37FA9"/>
    <w:rsid w:val="00F37FCE"/>
    <w:rsid w:val="00F41056"/>
    <w:rsid w:val="00F4183C"/>
    <w:rsid w:val="00F41B20"/>
    <w:rsid w:val="00F43656"/>
    <w:rsid w:val="00F51979"/>
    <w:rsid w:val="00F57C3C"/>
    <w:rsid w:val="00F669C4"/>
    <w:rsid w:val="00F67855"/>
    <w:rsid w:val="00F70BC3"/>
    <w:rsid w:val="00F8696E"/>
    <w:rsid w:val="00F906C0"/>
    <w:rsid w:val="00F93828"/>
    <w:rsid w:val="00F95102"/>
    <w:rsid w:val="00F956E3"/>
    <w:rsid w:val="00F967CB"/>
    <w:rsid w:val="00FA3E94"/>
    <w:rsid w:val="00FA479F"/>
    <w:rsid w:val="00FA4966"/>
    <w:rsid w:val="00FA5E05"/>
    <w:rsid w:val="00FB06A0"/>
    <w:rsid w:val="00FB0715"/>
    <w:rsid w:val="00FB3699"/>
    <w:rsid w:val="00FC35D1"/>
    <w:rsid w:val="00FC3708"/>
    <w:rsid w:val="00FC43E8"/>
    <w:rsid w:val="00FC458C"/>
    <w:rsid w:val="00FC49A8"/>
    <w:rsid w:val="00FD0FFD"/>
    <w:rsid w:val="00FD1C40"/>
    <w:rsid w:val="00FD3382"/>
    <w:rsid w:val="00FD3E2C"/>
    <w:rsid w:val="00FD5950"/>
    <w:rsid w:val="00FD7F38"/>
    <w:rsid w:val="00FE0BF7"/>
    <w:rsid w:val="00FE1089"/>
    <w:rsid w:val="00FE28F5"/>
    <w:rsid w:val="00FE627B"/>
    <w:rsid w:val="00FE6609"/>
    <w:rsid w:val="00FE6C9C"/>
    <w:rsid w:val="00FF0E0D"/>
    <w:rsid w:val="00FF192B"/>
    <w:rsid w:val="00FF4F6C"/>
    <w:rsid w:val="00FF5594"/>
    <w:rsid w:val="00FF5920"/>
    <w:rsid w:val="00FF638C"/>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0">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unhideWhenUsed/>
    <w:rsid w:val="00C37A2D"/>
    <w:rPr>
      <w:sz w:val="20"/>
    </w:rPr>
  </w:style>
  <w:style w:type="character" w:customStyle="1" w:styleId="CommentTextChar">
    <w:name w:val="Comment Text Char"/>
    <w:basedOn w:val="DefaultParagraphFont"/>
    <w:link w:val="CommentText"/>
    <w:uiPriority w:val="99"/>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 w:type="character" w:customStyle="1" w:styleId="FooterChar">
    <w:name w:val="Footer Char"/>
    <w:link w:val="Footer"/>
    <w:uiPriority w:val="99"/>
    <w:rsid w:val="004308EC"/>
    <w:rPr>
      <w:snapToGrid w:val="0"/>
      <w:kern w:val="28"/>
      <w:sz w:val="22"/>
    </w:rPr>
  </w:style>
  <w:style w:type="character" w:customStyle="1" w:styleId="FootnoteTextChar5Char">
    <w:name w:val="Footnote Text Char5 Char"/>
    <w:aliases w:val="Footnote Text Char1 Char Char Char Char Char,Footnote Text Char2 Char Char Char Char Char1 Char,Footnote Text Char2 Char1 Char Char1 Char,Footnote Text Char3 Char Char1 Char"/>
    <w:semiHidden/>
    <w:rsid w:val="004308EC"/>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4308EC"/>
    <w:rPr>
      <w:rFonts w:ascii="Times New Roman Bold" w:hAnsi="Times New Roman Bold"/>
      <w:b/>
      <w:caps/>
      <w:snapToGrid w:val="0"/>
      <w:kern w:val="28"/>
      <w:sz w:val="22"/>
    </w:rPr>
  </w:style>
  <w:style w:type="character" w:customStyle="1" w:styleId="cosearchterm">
    <w:name w:val="co_searchterm"/>
    <w:rsid w:val="004308EC"/>
  </w:style>
  <w:style w:type="paragraph" w:customStyle="1" w:styleId="Default">
    <w:name w:val="Default"/>
    <w:rsid w:val="004308EC"/>
    <w:pPr>
      <w:autoSpaceDE w:val="0"/>
      <w:autoSpaceDN w:val="0"/>
      <w:adjustRightInd w:val="0"/>
    </w:pPr>
    <w:rPr>
      <w:color w:val="000000"/>
      <w:sz w:val="24"/>
      <w:szCs w:val="24"/>
    </w:rPr>
  </w:style>
  <w:style w:type="paragraph" w:styleId="Revision">
    <w:name w:val="Revision"/>
    <w:hidden/>
    <w:uiPriority w:val="99"/>
    <w:semiHidden/>
    <w:rsid w:val="004308EC"/>
    <w:rPr>
      <w:snapToGrid w:val="0"/>
      <w:kern w:val="28"/>
      <w:sz w:val="22"/>
    </w:rPr>
  </w:style>
  <w:style w:type="character" w:customStyle="1" w:styleId="costarpage">
    <w:name w:val="co_starpage"/>
    <w:basedOn w:val="DefaultParagraphFont"/>
    <w:rsid w:val="004308EC"/>
  </w:style>
  <w:style w:type="character" w:customStyle="1" w:styleId="counderline">
    <w:name w:val="co_underline"/>
    <w:basedOn w:val="DefaultParagraphFont"/>
    <w:rsid w:val="004308EC"/>
  </w:style>
  <w:style w:type="character" w:styleId="Strong">
    <w:name w:val="Strong"/>
    <w:basedOn w:val="DefaultParagraphFont"/>
    <w:qFormat/>
    <w:rsid w:val="004308EC"/>
    <w:rPr>
      <w:b/>
      <w:bCs/>
    </w:rPr>
  </w:style>
  <w:style w:type="paragraph" w:styleId="ListParagraph">
    <w:name w:val="List Paragraph"/>
    <w:basedOn w:val="Normal"/>
    <w:uiPriority w:val="34"/>
    <w:qFormat/>
    <w:rsid w:val="00AF1288"/>
    <w:pPr>
      <w:ind w:left="720"/>
      <w:contextualSpacing/>
    </w:pPr>
  </w:style>
  <w:style w:type="paragraph" w:styleId="NormalWeb">
    <w:name w:val="Normal (Web)"/>
    <w:basedOn w:val="Normal"/>
    <w:uiPriority w:val="99"/>
    <w:unhideWhenUsed/>
    <w:rsid w:val="00581B82"/>
    <w:pPr>
      <w:widowControl/>
      <w:spacing w:before="100" w:beforeAutospacing="1" w:after="100" w:afterAutospacing="1"/>
    </w:pPr>
    <w:rPr>
      <w:snapToGrid/>
      <w:kern w:val="0"/>
      <w:sz w:val="24"/>
      <w:szCs w:val="24"/>
    </w:rPr>
  </w:style>
  <w:style w:type="character" w:customStyle="1" w:styleId="cf01">
    <w:name w:val="cf01"/>
    <w:basedOn w:val="DefaultParagraphFont"/>
    <w:rsid w:val="00581B82"/>
    <w:rPr>
      <w:rFonts w:ascii="Segoe UI" w:hAnsi="Segoe UI" w:cs="Segoe UI" w:hint="default"/>
      <w:sz w:val="18"/>
      <w:szCs w:val="18"/>
    </w:rPr>
  </w:style>
  <w:style w:type="character" w:customStyle="1" w:styleId="cf11">
    <w:name w:val="cf11"/>
    <w:basedOn w:val="DefaultParagraphFont"/>
    <w:rsid w:val="00581B82"/>
    <w:rPr>
      <w:rFonts w:ascii="Segoe UI" w:hAnsi="Segoe UI" w:cs="Segoe UI" w:hint="default"/>
      <w:sz w:val="18"/>
      <w:szCs w:val="18"/>
    </w:rPr>
  </w:style>
  <w:style w:type="character" w:customStyle="1" w:styleId="documentbody1">
    <w:name w:val="documentbody1"/>
    <w:basedOn w:val="DefaultParagraphFont"/>
    <w:rsid w:val="005D6879"/>
    <w:rPr>
      <w:rFonts w:ascii="Verdana" w:hAnsi="Verdana" w:hint="default"/>
      <w:sz w:val="19"/>
      <w:szCs w:val="19"/>
    </w:rPr>
  </w:style>
  <w:style w:type="paragraph" w:customStyle="1" w:styleId="Normal1">
    <w:name w:val="Normal1"/>
    <w:basedOn w:val="Normal"/>
    <w:rsid w:val="005D6879"/>
    <w:pPr>
      <w:widowControl/>
      <w:spacing w:before="100" w:beforeAutospacing="1" w:after="100" w:afterAutospacing="1"/>
    </w:pPr>
    <w:rPr>
      <w:rFonts w:ascii="Tahoma" w:hAnsi="Tahoma" w:cs="Verdana"/>
      <w:snapToGrid/>
      <w:color w:val="333333"/>
      <w:kern w:val="0"/>
      <w:sz w:val="18"/>
      <w:szCs w:val="18"/>
    </w:rPr>
  </w:style>
  <w:style w:type="paragraph" w:styleId="BodyText2">
    <w:name w:val="Body Text 2"/>
    <w:basedOn w:val="Normal"/>
    <w:link w:val="BodyText2Char"/>
    <w:rsid w:val="005D6879"/>
    <w:pPr>
      <w:widowControl/>
    </w:pPr>
    <w:rPr>
      <w:snapToGrid/>
      <w:color w:val="000000"/>
      <w:kern w:val="0"/>
    </w:rPr>
  </w:style>
  <w:style w:type="character" w:customStyle="1" w:styleId="BodyText2Char">
    <w:name w:val="Body Text 2 Char"/>
    <w:basedOn w:val="DefaultParagraphFont"/>
    <w:link w:val="BodyText2"/>
    <w:rsid w:val="005D687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radshaw@fcc.gov" TargetMode="External" /><Relationship Id="rId6" Type="http://schemas.openxmlformats.org/officeDocument/2006/relationships/hyperlink" Target="https://www.fccprod.service-now.com/auls?id=esupport" TargetMode="External" /><Relationship Id="rId7" Type="http://schemas.openxmlformats.org/officeDocument/2006/relationships/hyperlink" Target="mailto:Alexander.Sanjenis@fcc.gov" TargetMode="External" /><Relationship Id="rId8" Type="http://schemas.openxmlformats.org/officeDocument/2006/relationships/hyperlink" Target="mailto:Amy.Vandekerckhove@fcc.gov" TargetMode="External" /><Relationship Id="rId9" Type="http://schemas.openxmlformats.org/officeDocument/2006/relationships/hyperlink" Target="mailto:Lisa.Scanlan@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