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C11997" w14:paraId="3C8FD656" w14:textId="77777777">
      <w:pPr>
        <w:jc w:val="center"/>
        <w:rPr>
          <w:b/>
          <w:szCs w:val="22"/>
        </w:rPr>
      </w:pPr>
      <w:r w:rsidRPr="00C11997">
        <w:rPr>
          <w:b/>
          <w:kern w:val="0"/>
          <w:szCs w:val="22"/>
        </w:rPr>
        <w:t>Before</w:t>
      </w:r>
      <w:r w:rsidRPr="00C11997">
        <w:rPr>
          <w:b/>
          <w:szCs w:val="22"/>
        </w:rPr>
        <w:t xml:space="preserve"> the</w:t>
      </w:r>
    </w:p>
    <w:p w:rsidR="00921803" w:rsidRPr="00C11997" w:rsidP="00921803" w14:paraId="3C8FD657" w14:textId="77777777">
      <w:pPr>
        <w:pStyle w:val="StyleBoldCentered"/>
        <w:rPr>
          <w:rFonts w:ascii="Times New Roman" w:hAnsi="Times New Roman"/>
        </w:rPr>
      </w:pPr>
      <w:r w:rsidRPr="00C11997">
        <w:rPr>
          <w:rFonts w:ascii="Times New Roman" w:hAnsi="Times New Roman"/>
        </w:rPr>
        <w:t>F</w:t>
      </w:r>
      <w:r w:rsidRPr="00C11997">
        <w:rPr>
          <w:rFonts w:ascii="Times New Roman" w:hAnsi="Times New Roman"/>
          <w:caps w:val="0"/>
        </w:rPr>
        <w:t>ederal Communications Commission</w:t>
      </w:r>
    </w:p>
    <w:p w:rsidR="004C2EE3" w:rsidRPr="00C11997" w:rsidP="00096D8C" w14:paraId="3C8FD658" w14:textId="77777777">
      <w:pPr>
        <w:pStyle w:val="StyleBoldCentered"/>
        <w:rPr>
          <w:rFonts w:ascii="Times New Roman" w:hAnsi="Times New Roman"/>
        </w:rPr>
      </w:pPr>
      <w:r w:rsidRPr="00C11997">
        <w:rPr>
          <w:rFonts w:ascii="Times New Roman" w:hAnsi="Times New Roman"/>
          <w:caps w:val="0"/>
        </w:rPr>
        <w:t>Washington, D.C. 20554</w:t>
      </w:r>
    </w:p>
    <w:p w:rsidR="004C2EE3" w:rsidRPr="00C11997" w:rsidP="0070224F" w14:paraId="3C8FD659" w14:textId="77777777">
      <w:pPr>
        <w:rPr>
          <w:szCs w:val="22"/>
        </w:rPr>
      </w:pPr>
    </w:p>
    <w:tbl>
      <w:tblPr>
        <w:tblW w:w="0" w:type="auto"/>
        <w:tblLayout w:type="fixed"/>
        <w:tblLook w:val="0000"/>
      </w:tblPr>
      <w:tblGrid>
        <w:gridCol w:w="4698"/>
        <w:gridCol w:w="630"/>
        <w:gridCol w:w="4248"/>
      </w:tblGrid>
      <w:tr w14:paraId="20B02E87" w14:textId="77777777" w:rsidTr="00C65DC1">
        <w:tblPrEx>
          <w:tblW w:w="0" w:type="auto"/>
          <w:tblLayout w:type="fixed"/>
          <w:tblLook w:val="0000"/>
        </w:tblPrEx>
        <w:tc>
          <w:tcPr>
            <w:tcW w:w="4698" w:type="dxa"/>
          </w:tcPr>
          <w:p w:rsidR="000D1354" w:rsidRPr="00E05E23" w:rsidP="00C65DC1" w14:paraId="49BBAE9B" w14:textId="77777777">
            <w:pPr>
              <w:tabs>
                <w:tab w:val="center" w:pos="4680"/>
              </w:tabs>
              <w:rPr>
                <w:spacing w:val="-2"/>
                <w:szCs w:val="22"/>
              </w:rPr>
            </w:pPr>
            <w:r w:rsidRPr="00E05E23">
              <w:rPr>
                <w:spacing w:val="-2"/>
                <w:szCs w:val="22"/>
              </w:rPr>
              <w:t>In the Matter of</w:t>
            </w:r>
          </w:p>
          <w:p w:rsidR="000D1354" w:rsidRPr="00E05E23" w:rsidP="00C65DC1" w14:paraId="40264700" w14:textId="77777777">
            <w:pPr>
              <w:tabs>
                <w:tab w:val="center" w:pos="4680"/>
              </w:tabs>
              <w:rPr>
                <w:spacing w:val="-2"/>
                <w:szCs w:val="22"/>
              </w:rPr>
            </w:pPr>
          </w:p>
          <w:p w:rsidR="000D1354" w:rsidRPr="00E05E23" w:rsidP="00C65DC1" w14:paraId="177EAAE9" w14:textId="77777777">
            <w:pPr>
              <w:tabs>
                <w:tab w:val="center" w:pos="4680"/>
              </w:tabs>
              <w:rPr>
                <w:b/>
                <w:bCs/>
                <w:spacing w:val="-2"/>
                <w:szCs w:val="22"/>
              </w:rPr>
            </w:pPr>
            <w:r w:rsidRPr="00E05E23">
              <w:rPr>
                <w:b/>
                <w:bCs/>
                <w:spacing w:val="-2"/>
                <w:szCs w:val="22"/>
              </w:rPr>
              <w:t>CASTELLI MEDIA, LLC</w:t>
            </w:r>
          </w:p>
          <w:p w:rsidR="000D1354" w:rsidRPr="00E05E23" w:rsidP="00C65DC1" w14:paraId="716F734D" w14:textId="77777777">
            <w:pPr>
              <w:tabs>
                <w:tab w:val="center" w:pos="4680"/>
              </w:tabs>
              <w:rPr>
                <w:b/>
                <w:bCs/>
                <w:spacing w:val="-2"/>
                <w:szCs w:val="22"/>
              </w:rPr>
            </w:pPr>
          </w:p>
          <w:p w:rsidR="000D1354" w:rsidRPr="00E05E23" w:rsidP="00C65DC1" w14:paraId="5BA735D3" w14:textId="77777777">
            <w:pPr>
              <w:tabs>
                <w:tab w:val="center" w:pos="4680"/>
              </w:tabs>
              <w:rPr>
                <w:spacing w:val="-2"/>
                <w:szCs w:val="22"/>
              </w:rPr>
            </w:pPr>
            <w:r w:rsidRPr="00E05E23">
              <w:rPr>
                <w:spacing w:val="-2"/>
                <w:szCs w:val="22"/>
              </w:rPr>
              <w:t>Application for License to Cover for Low Power Television Station</w:t>
            </w:r>
          </w:p>
          <w:p w:rsidR="000D1354" w:rsidRPr="00E05E23" w:rsidP="00C65DC1" w14:paraId="38C8CC60" w14:textId="77777777">
            <w:pPr>
              <w:tabs>
                <w:tab w:val="center" w:pos="4680"/>
              </w:tabs>
              <w:rPr>
                <w:spacing w:val="-2"/>
                <w:szCs w:val="22"/>
              </w:rPr>
            </w:pPr>
            <w:r w:rsidRPr="00E05E23">
              <w:rPr>
                <w:spacing w:val="-2"/>
                <w:szCs w:val="22"/>
              </w:rPr>
              <w:t>K35PH-D, College Station, Texas</w:t>
            </w:r>
          </w:p>
        </w:tc>
        <w:tc>
          <w:tcPr>
            <w:tcW w:w="630" w:type="dxa"/>
          </w:tcPr>
          <w:p w:rsidR="000D1354" w:rsidRPr="00E05E23" w:rsidP="00C65DC1" w14:paraId="0A5547DC" w14:textId="77777777">
            <w:pPr>
              <w:tabs>
                <w:tab w:val="center" w:pos="4680"/>
              </w:tabs>
              <w:rPr>
                <w:b/>
                <w:spacing w:val="-2"/>
                <w:szCs w:val="22"/>
              </w:rPr>
            </w:pPr>
            <w:r w:rsidRPr="00E05E23">
              <w:rPr>
                <w:b/>
                <w:spacing w:val="-2"/>
                <w:szCs w:val="22"/>
              </w:rPr>
              <w:t>)</w:t>
            </w:r>
          </w:p>
          <w:p w:rsidR="000D1354" w:rsidRPr="00E05E23" w:rsidP="00C65DC1" w14:paraId="04B27341" w14:textId="77777777">
            <w:pPr>
              <w:tabs>
                <w:tab w:val="center" w:pos="4680"/>
              </w:tabs>
              <w:rPr>
                <w:b/>
                <w:spacing w:val="-2"/>
                <w:szCs w:val="22"/>
              </w:rPr>
            </w:pPr>
            <w:r w:rsidRPr="00E05E23">
              <w:rPr>
                <w:b/>
                <w:spacing w:val="-2"/>
                <w:szCs w:val="22"/>
              </w:rPr>
              <w:t>)</w:t>
            </w:r>
          </w:p>
          <w:p w:rsidR="000D1354" w:rsidRPr="00E05E23" w:rsidP="00C65DC1" w14:paraId="4CFC3E28" w14:textId="77777777">
            <w:pPr>
              <w:tabs>
                <w:tab w:val="center" w:pos="4680"/>
              </w:tabs>
              <w:rPr>
                <w:b/>
                <w:spacing w:val="-2"/>
                <w:szCs w:val="22"/>
              </w:rPr>
            </w:pPr>
            <w:r w:rsidRPr="00E05E23">
              <w:rPr>
                <w:b/>
                <w:spacing w:val="-2"/>
                <w:szCs w:val="22"/>
              </w:rPr>
              <w:t>)</w:t>
            </w:r>
          </w:p>
          <w:p w:rsidR="000D1354" w:rsidRPr="00E05E23" w:rsidP="00C65DC1" w14:paraId="03E9718E" w14:textId="77777777">
            <w:pPr>
              <w:tabs>
                <w:tab w:val="center" w:pos="4680"/>
              </w:tabs>
              <w:rPr>
                <w:b/>
                <w:spacing w:val="-2"/>
                <w:szCs w:val="22"/>
              </w:rPr>
            </w:pPr>
            <w:r w:rsidRPr="00E05E23">
              <w:rPr>
                <w:b/>
                <w:spacing w:val="-2"/>
                <w:szCs w:val="22"/>
              </w:rPr>
              <w:t>)</w:t>
            </w:r>
          </w:p>
          <w:p w:rsidR="000D1354" w:rsidRPr="00E05E23" w:rsidP="00C65DC1" w14:paraId="2DB61314" w14:textId="77777777">
            <w:pPr>
              <w:tabs>
                <w:tab w:val="center" w:pos="4680"/>
              </w:tabs>
              <w:rPr>
                <w:b/>
                <w:spacing w:val="-2"/>
                <w:szCs w:val="22"/>
              </w:rPr>
            </w:pPr>
            <w:r w:rsidRPr="00E05E23">
              <w:rPr>
                <w:b/>
                <w:spacing w:val="-2"/>
                <w:szCs w:val="22"/>
              </w:rPr>
              <w:t>)</w:t>
            </w:r>
          </w:p>
          <w:p w:rsidR="000D1354" w:rsidRPr="00E05E23" w:rsidP="00C65DC1" w14:paraId="3D06AC79" w14:textId="77777777">
            <w:pPr>
              <w:tabs>
                <w:tab w:val="center" w:pos="4680"/>
              </w:tabs>
              <w:rPr>
                <w:b/>
                <w:spacing w:val="-2"/>
                <w:szCs w:val="22"/>
              </w:rPr>
            </w:pPr>
            <w:r w:rsidRPr="00E05E23">
              <w:rPr>
                <w:b/>
                <w:spacing w:val="-2"/>
                <w:szCs w:val="22"/>
              </w:rPr>
              <w:t>)</w:t>
            </w:r>
          </w:p>
          <w:p w:rsidR="00C94EB1" w:rsidRPr="00E05E23" w:rsidP="00C65DC1" w14:paraId="44137F5D" w14:textId="3D8AF3F5">
            <w:pPr>
              <w:tabs>
                <w:tab w:val="center" w:pos="4680"/>
              </w:tabs>
              <w:rPr>
                <w:b/>
                <w:spacing w:val="-2"/>
                <w:szCs w:val="22"/>
              </w:rPr>
            </w:pPr>
            <w:r w:rsidRPr="00E05E23">
              <w:rPr>
                <w:b/>
                <w:spacing w:val="-2"/>
                <w:szCs w:val="22"/>
              </w:rPr>
              <w:t>)</w:t>
            </w:r>
          </w:p>
        </w:tc>
        <w:tc>
          <w:tcPr>
            <w:tcW w:w="4248" w:type="dxa"/>
          </w:tcPr>
          <w:p w:rsidR="000D1354" w:rsidRPr="00E05E23" w:rsidP="00C65DC1" w14:paraId="3B09F1B8" w14:textId="77777777">
            <w:pPr>
              <w:tabs>
                <w:tab w:val="center" w:pos="4680"/>
              </w:tabs>
              <w:rPr>
                <w:spacing w:val="-2"/>
                <w:szCs w:val="22"/>
              </w:rPr>
            </w:pPr>
          </w:p>
          <w:p w:rsidR="000D1354" w:rsidRPr="00E05E23" w:rsidP="00C65DC1" w14:paraId="078AFF02" w14:textId="77777777">
            <w:pPr>
              <w:pStyle w:val="TOAHeading"/>
              <w:tabs>
                <w:tab w:val="center" w:pos="4680"/>
                <w:tab w:val="clear" w:pos="9360"/>
              </w:tabs>
              <w:suppressAutoHyphens w:val="0"/>
              <w:rPr>
                <w:spacing w:val="-2"/>
                <w:szCs w:val="22"/>
              </w:rPr>
            </w:pPr>
          </w:p>
          <w:p w:rsidR="000D1354" w:rsidRPr="00E05E23" w:rsidP="00C65DC1" w14:paraId="7A659710" w14:textId="77777777">
            <w:pPr>
              <w:pStyle w:val="TOAHeading"/>
              <w:tabs>
                <w:tab w:val="center" w:pos="4680"/>
              </w:tabs>
              <w:suppressAutoHyphens w:val="0"/>
              <w:rPr>
                <w:spacing w:val="-2"/>
                <w:szCs w:val="22"/>
              </w:rPr>
            </w:pPr>
            <w:r w:rsidRPr="00E05E23">
              <w:rPr>
                <w:spacing w:val="-2"/>
                <w:szCs w:val="22"/>
              </w:rPr>
              <w:t>Facility ID No. 182057</w:t>
            </w:r>
          </w:p>
          <w:p w:rsidR="000D1354" w:rsidRPr="00E05E23" w:rsidP="00C65DC1" w14:paraId="26612884" w14:textId="77777777">
            <w:pPr>
              <w:pStyle w:val="TOAHeading"/>
              <w:tabs>
                <w:tab w:val="center" w:pos="4680"/>
              </w:tabs>
              <w:suppressAutoHyphens w:val="0"/>
              <w:rPr>
                <w:spacing w:val="-2"/>
                <w:szCs w:val="22"/>
              </w:rPr>
            </w:pPr>
            <w:r w:rsidRPr="00E05E23">
              <w:rPr>
                <w:spacing w:val="-2"/>
                <w:szCs w:val="22"/>
              </w:rPr>
              <w:t xml:space="preserve">NAL/Acct. No. </w:t>
            </w:r>
            <w:r w:rsidRPr="00C553E9">
              <w:rPr>
                <w:spacing w:val="-2"/>
                <w:szCs w:val="22"/>
              </w:rPr>
              <w:t>202341420045</w:t>
            </w:r>
          </w:p>
          <w:p w:rsidR="000D1354" w:rsidRPr="00E05E23" w:rsidP="00C65DC1" w14:paraId="785C1269" w14:textId="77777777">
            <w:pPr>
              <w:pStyle w:val="TOAHeading"/>
              <w:tabs>
                <w:tab w:val="center" w:pos="4680"/>
              </w:tabs>
              <w:suppressAutoHyphens w:val="0"/>
              <w:rPr>
                <w:spacing w:val="-2"/>
                <w:szCs w:val="22"/>
              </w:rPr>
            </w:pPr>
            <w:r w:rsidRPr="00E05E23">
              <w:rPr>
                <w:spacing w:val="-2"/>
                <w:szCs w:val="22"/>
              </w:rPr>
              <w:t>FRN: 0032494429</w:t>
            </w:r>
          </w:p>
          <w:p w:rsidR="000D1354" w:rsidRPr="00E05E23" w:rsidP="00C65DC1" w14:paraId="7F3B4AC4" w14:textId="77777777">
            <w:pPr>
              <w:tabs>
                <w:tab w:val="center" w:pos="4680"/>
              </w:tabs>
              <w:rPr>
                <w:spacing w:val="-2"/>
                <w:szCs w:val="22"/>
              </w:rPr>
            </w:pPr>
            <w:r w:rsidRPr="00E05E23">
              <w:rPr>
                <w:spacing w:val="-2"/>
                <w:szCs w:val="22"/>
              </w:rPr>
              <w:t>LMS File No. 0000232484</w:t>
            </w:r>
          </w:p>
        </w:tc>
      </w:tr>
    </w:tbl>
    <w:p w:rsidR="000D1354" w:rsidRPr="00E05E23" w:rsidP="000D1354" w14:paraId="21F5A51F" w14:textId="77777777">
      <w:pPr>
        <w:rPr>
          <w:szCs w:val="22"/>
        </w:rPr>
      </w:pPr>
    </w:p>
    <w:p w:rsidR="00841AB1" w:rsidRPr="00C11997" w:rsidP="003C5B79" w14:paraId="3C8FD670" w14:textId="07319F79">
      <w:pPr>
        <w:pStyle w:val="StyleBoldCentered"/>
        <w:rPr>
          <w:rFonts w:ascii="Times New Roman" w:hAnsi="Times New Roman"/>
        </w:rPr>
      </w:pPr>
      <w:r w:rsidRPr="00C11997">
        <w:rPr>
          <w:rFonts w:ascii="Times New Roman" w:hAnsi="Times New Roman"/>
        </w:rPr>
        <w:t xml:space="preserve">Forfeiture </w:t>
      </w:r>
      <w:r w:rsidRPr="00C11997" w:rsidR="00264785">
        <w:rPr>
          <w:rFonts w:ascii="Times New Roman" w:hAnsi="Times New Roman"/>
        </w:rPr>
        <w:t>ORDER</w:t>
      </w:r>
    </w:p>
    <w:p w:rsidR="004C2EE3" w:rsidRPr="00C11997" w14:paraId="3C8FD671" w14:textId="77777777">
      <w:pPr>
        <w:tabs>
          <w:tab w:val="left" w:pos="-720"/>
        </w:tabs>
        <w:suppressAutoHyphens/>
        <w:spacing w:line="227" w:lineRule="auto"/>
        <w:rPr>
          <w:spacing w:val="-2"/>
          <w:szCs w:val="22"/>
        </w:rPr>
      </w:pPr>
    </w:p>
    <w:p w:rsidR="004C2EE3" w:rsidRPr="00C11997" w:rsidP="00133F79" w14:paraId="3C8FD672" w14:textId="6512746F">
      <w:pPr>
        <w:tabs>
          <w:tab w:val="left" w:pos="720"/>
          <w:tab w:val="right" w:pos="9360"/>
        </w:tabs>
        <w:suppressAutoHyphens/>
        <w:spacing w:line="227" w:lineRule="auto"/>
        <w:rPr>
          <w:spacing w:val="-2"/>
          <w:szCs w:val="22"/>
        </w:rPr>
      </w:pPr>
      <w:r w:rsidRPr="00241692">
        <w:rPr>
          <w:b/>
          <w:spacing w:val="-2"/>
          <w:szCs w:val="22"/>
        </w:rPr>
        <w:t xml:space="preserve">Adopted: </w:t>
      </w:r>
      <w:r w:rsidR="001D5806">
        <w:rPr>
          <w:b/>
          <w:spacing w:val="-2"/>
          <w:szCs w:val="22"/>
        </w:rPr>
        <w:t xml:space="preserve"> </w:t>
      </w:r>
      <w:r w:rsidR="007000AB">
        <w:rPr>
          <w:b/>
          <w:spacing w:val="-2"/>
          <w:szCs w:val="22"/>
        </w:rPr>
        <w:t>April 23, 2024</w:t>
      </w:r>
      <w:r w:rsidRPr="00241692">
        <w:rPr>
          <w:b/>
          <w:spacing w:val="-2"/>
          <w:szCs w:val="22"/>
        </w:rPr>
        <w:tab/>
      </w:r>
      <w:r w:rsidRPr="00241692" w:rsidR="00822CE0">
        <w:rPr>
          <w:b/>
          <w:spacing w:val="-2"/>
          <w:szCs w:val="22"/>
        </w:rPr>
        <w:t>Released</w:t>
      </w:r>
      <w:r w:rsidRPr="00241692">
        <w:rPr>
          <w:b/>
          <w:spacing w:val="-2"/>
          <w:szCs w:val="22"/>
        </w:rPr>
        <w:t>:</w:t>
      </w:r>
      <w:r w:rsidRPr="00241692" w:rsidR="00822CE0">
        <w:rPr>
          <w:b/>
          <w:spacing w:val="-2"/>
          <w:szCs w:val="22"/>
        </w:rPr>
        <w:t xml:space="preserve"> </w:t>
      </w:r>
      <w:r w:rsidRPr="00241692">
        <w:rPr>
          <w:b/>
          <w:spacing w:val="-2"/>
          <w:szCs w:val="22"/>
        </w:rPr>
        <w:t xml:space="preserve"> </w:t>
      </w:r>
      <w:r w:rsidR="007000AB">
        <w:rPr>
          <w:b/>
          <w:spacing w:val="-2"/>
          <w:szCs w:val="22"/>
        </w:rPr>
        <w:t>April 23, 2024</w:t>
      </w:r>
    </w:p>
    <w:p w:rsidR="00822CE0" w:rsidRPr="00C11997" w14:paraId="3C8FD673" w14:textId="77777777">
      <w:pPr>
        <w:rPr>
          <w:szCs w:val="22"/>
        </w:rPr>
      </w:pPr>
    </w:p>
    <w:p w:rsidR="004C2EE3" w:rsidRPr="00C11997" w14:paraId="3C8FD674" w14:textId="7B52B259">
      <w:pPr>
        <w:rPr>
          <w:spacing w:val="-2"/>
          <w:szCs w:val="22"/>
        </w:rPr>
      </w:pPr>
      <w:r w:rsidRPr="00C11997">
        <w:rPr>
          <w:szCs w:val="22"/>
        </w:rPr>
        <w:t xml:space="preserve">By </w:t>
      </w:r>
      <w:r w:rsidRPr="00C11997" w:rsidR="004E4A22">
        <w:rPr>
          <w:szCs w:val="22"/>
        </w:rPr>
        <w:t>the</w:t>
      </w:r>
      <w:r w:rsidRPr="00C11997" w:rsidR="002A2D2E">
        <w:rPr>
          <w:szCs w:val="22"/>
        </w:rPr>
        <w:t xml:space="preserve"> </w:t>
      </w:r>
      <w:r w:rsidRPr="00C11997" w:rsidR="00474268">
        <w:rPr>
          <w:spacing w:val="-2"/>
          <w:szCs w:val="22"/>
        </w:rPr>
        <w:t xml:space="preserve">Chief, </w:t>
      </w:r>
      <w:r w:rsidR="001D5806">
        <w:rPr>
          <w:spacing w:val="-2"/>
          <w:szCs w:val="22"/>
        </w:rPr>
        <w:t>Video</w:t>
      </w:r>
      <w:r w:rsidRPr="00C11997" w:rsidR="00474268">
        <w:rPr>
          <w:spacing w:val="-2"/>
          <w:szCs w:val="22"/>
        </w:rPr>
        <w:t xml:space="preserve"> Division, Media Bureau</w:t>
      </w:r>
      <w:r w:rsidRPr="00C11997">
        <w:rPr>
          <w:spacing w:val="-2"/>
          <w:szCs w:val="22"/>
        </w:rPr>
        <w:t>:</w:t>
      </w:r>
    </w:p>
    <w:p w:rsidR="00822CE0" w:rsidRPr="00C11997" w14:paraId="3C8FD675" w14:textId="77777777">
      <w:pPr>
        <w:rPr>
          <w:spacing w:val="-2"/>
          <w:szCs w:val="22"/>
        </w:rPr>
      </w:pPr>
    </w:p>
    <w:p w:rsidR="00474268" w:rsidRPr="00C11997" w:rsidP="00474268" w14:paraId="3C8FD676" w14:textId="77777777">
      <w:pPr>
        <w:pStyle w:val="Heading1"/>
        <w:rPr>
          <w:rFonts w:ascii="Times New Roman" w:hAnsi="Times New Roman"/>
          <w:szCs w:val="22"/>
        </w:rPr>
      </w:pPr>
      <w:r w:rsidRPr="00C11997">
        <w:rPr>
          <w:rFonts w:ascii="Times New Roman" w:hAnsi="Times New Roman"/>
          <w:szCs w:val="22"/>
        </w:rPr>
        <w:t>INTRODUCTION</w:t>
      </w:r>
    </w:p>
    <w:p w:rsidR="00FB4671" w:rsidP="00C42C83" w14:paraId="1F867A25" w14:textId="63856743">
      <w:pPr>
        <w:pStyle w:val="ParaNum"/>
      </w:pPr>
      <w:r w:rsidRPr="00C11997">
        <w:t xml:space="preserve">In this </w:t>
      </w:r>
      <w:r w:rsidRPr="00C11997">
        <w:rPr>
          <w:i/>
        </w:rPr>
        <w:t>Forfeiture Order</w:t>
      </w:r>
      <w:r w:rsidRPr="00C11997">
        <w:t>,</w:t>
      </w:r>
      <w:r w:rsidRPr="00C11997">
        <w:rPr>
          <w:i/>
        </w:rPr>
        <w:t xml:space="preserve"> </w:t>
      </w:r>
      <w:r w:rsidRPr="00C11997">
        <w:t>we issue a monetary forfeiture in the amount of</w:t>
      </w:r>
      <w:r w:rsidR="0082727C">
        <w:t xml:space="preserve"> </w:t>
      </w:r>
      <w:r w:rsidR="000D1354">
        <w:t>three</w:t>
      </w:r>
      <w:r>
        <w:t xml:space="preserve"> thousand five hundred </w:t>
      </w:r>
      <w:r w:rsidRPr="00C11997">
        <w:t>dollars ($</w:t>
      </w:r>
      <w:r w:rsidR="000D1354">
        <w:t>3</w:t>
      </w:r>
      <w:r>
        <w:t>,500</w:t>
      </w:r>
      <w:r w:rsidRPr="00C11997">
        <w:t xml:space="preserve">) to </w:t>
      </w:r>
      <w:r w:rsidR="000D1354">
        <w:t>Castelli Media, LLC (C</w:t>
      </w:r>
      <w:r w:rsidR="00AD1F3A">
        <w:t>ML</w:t>
      </w:r>
      <w:r w:rsidRPr="00FB4671">
        <w:t xml:space="preserve"> or Licensee), licensee of low power television (LPTV) station K</w:t>
      </w:r>
      <w:r w:rsidR="000D1354">
        <w:t>35PH-D, College Station, Texas (K35PH-D</w:t>
      </w:r>
      <w:r w:rsidRPr="00FB4671">
        <w:t xml:space="preserve"> or Station).</w:t>
      </w:r>
      <w:r>
        <w:t xml:space="preserve"> </w:t>
      </w:r>
      <w:r w:rsidRPr="0069400D">
        <w:rPr>
          <w:szCs w:val="22"/>
        </w:rPr>
        <w:t xml:space="preserve"> </w:t>
      </w:r>
      <w:r>
        <w:rPr>
          <w:szCs w:val="22"/>
        </w:rPr>
        <w:t>W</w:t>
      </w:r>
      <w:r w:rsidRPr="0069400D">
        <w:rPr>
          <w:szCs w:val="22"/>
        </w:rPr>
        <w:t xml:space="preserve">e find that </w:t>
      </w:r>
      <w:r w:rsidR="00AD1F3A">
        <w:rPr>
          <w:szCs w:val="22"/>
        </w:rPr>
        <w:t>CML</w:t>
      </w:r>
      <w:r w:rsidRPr="0069400D">
        <w:rPr>
          <w:szCs w:val="22"/>
        </w:rPr>
        <w:t xml:space="preserve"> willfully violated section 73.3598(a)</w:t>
      </w:r>
      <w:r>
        <w:rPr>
          <w:rStyle w:val="FootnoteReference"/>
          <w:color w:val="000000"/>
          <w:sz w:val="22"/>
          <w:szCs w:val="22"/>
        </w:rPr>
        <w:footnoteReference w:id="3"/>
      </w:r>
      <w:r w:rsidRPr="0069400D">
        <w:rPr>
          <w:szCs w:val="22"/>
        </w:rPr>
        <w:t xml:space="preserve"> of the Commission’s rules (Rules) by failing to timely file a license to cover application, and willfully and repeatedly violated section 73.1745(a) of the Rules</w:t>
      </w:r>
      <w:r>
        <w:rPr>
          <w:rStyle w:val="FootnoteReference"/>
          <w:sz w:val="22"/>
          <w:szCs w:val="22"/>
        </w:rPr>
        <w:footnoteReference w:id="4"/>
      </w:r>
      <w:r w:rsidRPr="0069400D">
        <w:rPr>
          <w:szCs w:val="22"/>
        </w:rPr>
        <w:t xml:space="preserve"> and s</w:t>
      </w:r>
      <w:r w:rsidRPr="004E2BCF">
        <w:rPr>
          <w:szCs w:val="22"/>
        </w:rPr>
        <w:t>ection 301 of the</w:t>
      </w:r>
      <w:r w:rsidR="001E624F">
        <w:rPr>
          <w:szCs w:val="22"/>
        </w:rPr>
        <w:t xml:space="preserve"> Communications</w:t>
      </w:r>
      <w:r w:rsidRPr="004E2BCF">
        <w:rPr>
          <w:szCs w:val="22"/>
        </w:rPr>
        <w:t xml:space="preserve"> Act</w:t>
      </w:r>
      <w:r w:rsidR="001E624F">
        <w:rPr>
          <w:szCs w:val="22"/>
        </w:rPr>
        <w:t xml:space="preserve"> of 1934 (Act)</w:t>
      </w:r>
      <w:r>
        <w:rPr>
          <w:rStyle w:val="FootnoteReference"/>
          <w:color w:val="000000"/>
          <w:sz w:val="22"/>
          <w:szCs w:val="22"/>
        </w:rPr>
        <w:footnoteReference w:id="5"/>
      </w:r>
      <w:r w:rsidRPr="004E2BCF">
        <w:rPr>
          <w:szCs w:val="22"/>
        </w:rPr>
        <w:t xml:space="preserve"> by engaging in unauthorized operation.</w:t>
      </w:r>
    </w:p>
    <w:p w:rsidR="0072020B" w:rsidRPr="0072020B" w:rsidP="0072020B" w14:paraId="7F744FBB" w14:textId="5FBAA970">
      <w:pPr>
        <w:pStyle w:val="Heading1"/>
        <w:rPr>
          <w:szCs w:val="22"/>
        </w:rPr>
      </w:pPr>
      <w:r>
        <w:t>BACKGROUND</w:t>
      </w:r>
    </w:p>
    <w:p w:rsidR="00AD1F3A" w:rsidP="00AD1F3A" w14:paraId="6387A678" w14:textId="525EEA2C">
      <w:pPr>
        <w:pStyle w:val="ParaNum"/>
        <w:rPr>
          <w:szCs w:val="22"/>
        </w:rPr>
      </w:pPr>
      <w:r w:rsidRPr="0072020B">
        <w:t xml:space="preserve">On </w:t>
      </w:r>
      <w:r w:rsidR="00FB4671">
        <w:t>December 2</w:t>
      </w:r>
      <w:r>
        <w:t>1</w:t>
      </w:r>
      <w:r w:rsidRPr="0072020B">
        <w:t>, 202</w:t>
      </w:r>
      <w:r w:rsidR="0082727C">
        <w:t>3</w:t>
      </w:r>
      <w:r w:rsidRPr="0072020B">
        <w:t xml:space="preserve">, the Media Bureau (Bureau) issued a </w:t>
      </w:r>
      <w:r w:rsidRPr="00162375" w:rsidR="009F6D26">
        <w:rPr>
          <w:i/>
          <w:iCs/>
        </w:rPr>
        <w:t xml:space="preserve">Memorandum Opinion and Order and </w:t>
      </w:r>
      <w:r w:rsidRPr="00162375">
        <w:rPr>
          <w:i/>
          <w:iCs/>
        </w:rPr>
        <w:t xml:space="preserve">Notice of Apparent Liability for Forfeiture </w:t>
      </w:r>
      <w:r w:rsidRPr="0072020B">
        <w:t>(</w:t>
      </w:r>
      <w:r w:rsidRPr="00162375">
        <w:rPr>
          <w:i/>
          <w:iCs/>
        </w:rPr>
        <w:t>NAL</w:t>
      </w:r>
      <w:r w:rsidRPr="0072020B">
        <w:t xml:space="preserve">) in the amount </w:t>
      </w:r>
      <w:r w:rsidRPr="00162375">
        <w:rPr>
          <w:spacing w:val="-2"/>
        </w:rPr>
        <w:t>of</w:t>
      </w:r>
      <w:r w:rsidR="007173FF">
        <w:t xml:space="preserve"> </w:t>
      </w:r>
      <w:r>
        <w:t>three</w:t>
      </w:r>
      <w:r w:rsidRPr="0072020B">
        <w:t xml:space="preserve"> </w:t>
      </w:r>
      <w:r w:rsidR="00BB5D4C">
        <w:t>thousand</w:t>
      </w:r>
      <w:r w:rsidRPr="0072020B" w:rsidR="00BB5D4C">
        <w:t xml:space="preserve"> </w:t>
      </w:r>
      <w:r w:rsidR="00FB4671">
        <w:t xml:space="preserve">five hundred </w:t>
      </w:r>
      <w:r w:rsidRPr="0072020B">
        <w:t>dollars ($</w:t>
      </w:r>
      <w:r>
        <w:t>3</w:t>
      </w:r>
      <w:r w:rsidR="00FB4671">
        <w:t>,500</w:t>
      </w:r>
      <w:r w:rsidRPr="0072020B">
        <w:t xml:space="preserve">) to </w:t>
      </w:r>
      <w:r>
        <w:t>CML</w:t>
      </w:r>
      <w:r w:rsidRPr="0072020B">
        <w:t>.</w:t>
      </w:r>
      <w:r>
        <w:rPr>
          <w:rStyle w:val="FootnoteReference"/>
        </w:rPr>
        <w:footnoteReference w:id="6"/>
      </w:r>
      <w:r w:rsidR="00BB5D4C">
        <w:t xml:space="preserve">  I</w:t>
      </w:r>
      <w:r w:rsidR="000B6193">
        <w:t xml:space="preserve">n the </w:t>
      </w:r>
      <w:r w:rsidRPr="00162375" w:rsidR="000B6193">
        <w:rPr>
          <w:i/>
          <w:iCs/>
        </w:rPr>
        <w:t>NAL</w:t>
      </w:r>
      <w:r w:rsidR="000B6193">
        <w:t xml:space="preserve">, we found that </w:t>
      </w:r>
      <w:r>
        <w:t>CML</w:t>
      </w:r>
      <w:r w:rsidRPr="00AD1F3A">
        <w:rPr>
          <w:szCs w:val="22"/>
        </w:rPr>
        <w:t xml:space="preserve"> failed to file a license to cover by the </w:t>
      </w:r>
      <w:r>
        <w:rPr>
          <w:szCs w:val="22"/>
        </w:rPr>
        <w:t xml:space="preserve">expiration date of the Station’s original construction permit (CP) and that the CP </w:t>
      </w:r>
      <w:r w:rsidRPr="00AD1F3A">
        <w:rPr>
          <w:szCs w:val="22"/>
        </w:rPr>
        <w:t>and the CP was automatically forfeited.</w:t>
      </w:r>
      <w:r>
        <w:rPr>
          <w:rStyle w:val="FootnoteReference"/>
          <w:szCs w:val="22"/>
        </w:rPr>
        <w:footnoteReference w:id="7"/>
      </w:r>
      <w:r>
        <w:rPr>
          <w:szCs w:val="22"/>
        </w:rPr>
        <w:t xml:space="preserve">  The CP was later </w:t>
      </w:r>
      <w:r w:rsidRPr="00AD1F3A">
        <w:rPr>
          <w:szCs w:val="22"/>
        </w:rPr>
        <w:t>automatic</w:t>
      </w:r>
      <w:r>
        <w:rPr>
          <w:szCs w:val="22"/>
        </w:rPr>
        <w:t>ally</w:t>
      </w:r>
      <w:r w:rsidRPr="00AD1F3A">
        <w:rPr>
          <w:szCs w:val="22"/>
        </w:rPr>
        <w:t xml:space="preserve"> forfeit</w:t>
      </w:r>
      <w:r>
        <w:rPr>
          <w:szCs w:val="22"/>
        </w:rPr>
        <w:t>ed</w:t>
      </w:r>
      <w:r w:rsidRPr="00AD1F3A">
        <w:rPr>
          <w:szCs w:val="22"/>
        </w:rPr>
        <w:t xml:space="preserve">, </w:t>
      </w:r>
      <w:r>
        <w:rPr>
          <w:szCs w:val="22"/>
        </w:rPr>
        <w:t xml:space="preserve">the </w:t>
      </w:r>
      <w:r w:rsidRPr="00AD1F3A">
        <w:rPr>
          <w:szCs w:val="22"/>
        </w:rPr>
        <w:t xml:space="preserve">Station’s call sign </w:t>
      </w:r>
      <w:r>
        <w:rPr>
          <w:szCs w:val="22"/>
        </w:rPr>
        <w:t>deleted</w:t>
      </w:r>
      <w:r w:rsidR="00C94EB1">
        <w:rPr>
          <w:szCs w:val="22"/>
        </w:rPr>
        <w:t>,</w:t>
      </w:r>
      <w:r>
        <w:rPr>
          <w:szCs w:val="22"/>
        </w:rPr>
        <w:t xml:space="preserve"> </w:t>
      </w:r>
      <w:r w:rsidRPr="00AD1F3A">
        <w:rPr>
          <w:szCs w:val="22"/>
        </w:rPr>
        <w:t>and all authority to construct the Station</w:t>
      </w:r>
      <w:r>
        <w:rPr>
          <w:szCs w:val="22"/>
        </w:rPr>
        <w:t xml:space="preserve"> terminated</w:t>
      </w:r>
      <w:r w:rsidRPr="00AD1F3A">
        <w:rPr>
          <w:szCs w:val="22"/>
        </w:rPr>
        <w:t>.</w:t>
      </w:r>
      <w:r>
        <w:rPr>
          <w:sz w:val="20"/>
          <w:szCs w:val="22"/>
          <w:vertAlign w:val="superscript"/>
        </w:rPr>
        <w:footnoteReference w:id="8"/>
      </w:r>
      <w:r>
        <w:rPr>
          <w:szCs w:val="22"/>
        </w:rPr>
        <w:t xml:space="preserve"> </w:t>
      </w:r>
      <w:r w:rsidR="00C94EB1">
        <w:rPr>
          <w:szCs w:val="22"/>
        </w:rPr>
        <w:t xml:space="preserve"> </w:t>
      </w:r>
      <w:r>
        <w:rPr>
          <w:szCs w:val="22"/>
        </w:rPr>
        <w:t xml:space="preserve">CML subsequently sought </w:t>
      </w:r>
      <w:r w:rsidRPr="00AD1F3A">
        <w:rPr>
          <w:szCs w:val="22"/>
        </w:rPr>
        <w:t>reconsideration of the cancellation, reinstatement of the Station’s expired CP, and permission to file an application for license to cover.</w:t>
      </w:r>
      <w:r>
        <w:rPr>
          <w:sz w:val="20"/>
          <w:szCs w:val="22"/>
          <w:vertAlign w:val="superscript"/>
        </w:rPr>
        <w:footnoteReference w:id="9"/>
      </w:r>
      <w:r>
        <w:rPr>
          <w:szCs w:val="22"/>
        </w:rPr>
        <w:t xml:space="preserve">  </w:t>
      </w:r>
      <w:r w:rsidRPr="00AD1F3A">
        <w:rPr>
          <w:szCs w:val="22"/>
        </w:rPr>
        <w:t>On December 11, 2023, the Media Bureau’s Video Division granted CML’s Petition,</w:t>
      </w:r>
      <w:r>
        <w:rPr>
          <w:sz w:val="20"/>
          <w:vertAlign w:val="superscript"/>
        </w:rPr>
        <w:footnoteReference w:id="10"/>
      </w:r>
      <w:r w:rsidRPr="00AD1F3A">
        <w:rPr>
          <w:szCs w:val="22"/>
        </w:rPr>
        <w:t xml:space="preserve"> granted a </w:t>
      </w:r>
      <w:r w:rsidRPr="00AD1F3A">
        <w:rPr>
          <w:szCs w:val="22"/>
        </w:rPr>
        <w:t>waiver of the Commission’s rules and reinstated the Station’</w:t>
      </w:r>
      <w:r>
        <w:rPr>
          <w:szCs w:val="22"/>
        </w:rPr>
        <w:t>s CP</w:t>
      </w:r>
      <w:r w:rsidRPr="00AD1F3A">
        <w:rPr>
          <w:szCs w:val="22"/>
        </w:rPr>
        <w:t>,</w:t>
      </w:r>
      <w:r>
        <w:rPr>
          <w:sz w:val="20"/>
          <w:vertAlign w:val="superscript"/>
        </w:rPr>
        <w:footnoteReference w:id="11"/>
      </w:r>
      <w:r w:rsidRPr="00AD1F3A">
        <w:rPr>
          <w:szCs w:val="22"/>
        </w:rPr>
        <w:t xml:space="preserve"> and instructed CML to file an application for license to cover within 10 days.  CML promptly submitted an application for license to cover</w:t>
      </w:r>
      <w:r>
        <w:rPr>
          <w:szCs w:val="22"/>
        </w:rPr>
        <w:t xml:space="preserve"> </w:t>
      </w:r>
      <w:r w:rsidRPr="00AD1F3A">
        <w:rPr>
          <w:szCs w:val="22"/>
        </w:rPr>
        <w:t>for the Station on December 12, 2023.</w:t>
      </w:r>
      <w:r>
        <w:rPr>
          <w:sz w:val="20"/>
          <w:vertAlign w:val="superscript"/>
        </w:rPr>
        <w:footnoteReference w:id="12"/>
      </w:r>
    </w:p>
    <w:p w:rsidR="007E5C8E" w:rsidP="00C94EB1" w14:paraId="3984152A" w14:textId="24739C8F">
      <w:pPr>
        <w:pStyle w:val="ParaNum"/>
      </w:pPr>
      <w:r>
        <w:rPr>
          <w:szCs w:val="22"/>
        </w:rPr>
        <w:t xml:space="preserve">Based upon these facts, the Bureau, in the </w:t>
      </w:r>
      <w:r>
        <w:rPr>
          <w:i/>
          <w:iCs/>
          <w:szCs w:val="22"/>
        </w:rPr>
        <w:t>NAL</w:t>
      </w:r>
      <w:r>
        <w:rPr>
          <w:szCs w:val="22"/>
        </w:rPr>
        <w:t xml:space="preserve">, found </w:t>
      </w:r>
      <w:r w:rsidR="00F137CF">
        <w:rPr>
          <w:szCs w:val="22"/>
        </w:rPr>
        <w:t xml:space="preserve">that </w:t>
      </w:r>
      <w:r w:rsidRPr="00F137CF" w:rsidR="00F137CF">
        <w:rPr>
          <w:szCs w:val="22"/>
        </w:rPr>
        <w:t xml:space="preserve">CML </w:t>
      </w:r>
      <w:r w:rsidR="00F137CF">
        <w:rPr>
          <w:szCs w:val="22"/>
        </w:rPr>
        <w:t xml:space="preserve">failed to timely submit a license to cover the CP facilities and </w:t>
      </w:r>
      <w:r w:rsidRPr="00F137CF" w:rsidR="00F137CF">
        <w:rPr>
          <w:szCs w:val="22"/>
        </w:rPr>
        <w:t>also engaged in unauthorized operation of the Station in violation of section 301 of the Act and section 73.1745 of the Rules</w:t>
      </w:r>
      <w:r>
        <w:rPr>
          <w:rStyle w:val="FootnoteReference"/>
          <w:szCs w:val="22"/>
        </w:rPr>
        <w:footnoteReference w:id="13"/>
      </w:r>
      <w:r w:rsidR="00F137CF">
        <w:rPr>
          <w:szCs w:val="22"/>
        </w:rPr>
        <w:t xml:space="preserve"> and conclud</w:t>
      </w:r>
      <w:r w:rsidR="002910B7">
        <w:rPr>
          <w:szCs w:val="22"/>
        </w:rPr>
        <w:t xml:space="preserve">ed </w:t>
      </w:r>
      <w:r w:rsidR="00F137CF">
        <w:rPr>
          <w:szCs w:val="22"/>
        </w:rPr>
        <w:t>that</w:t>
      </w:r>
      <w:r w:rsidR="002910B7">
        <w:rPr>
          <w:szCs w:val="22"/>
        </w:rPr>
        <w:t xml:space="preserve"> </w:t>
      </w:r>
      <w:r w:rsidR="00F137CF">
        <w:rPr>
          <w:szCs w:val="22"/>
        </w:rPr>
        <w:t xml:space="preserve">CML </w:t>
      </w:r>
      <w:r w:rsidRPr="00F137CF" w:rsidR="00F137CF">
        <w:rPr>
          <w:szCs w:val="22"/>
        </w:rPr>
        <w:t>ha</w:t>
      </w:r>
      <w:r w:rsidR="002910B7">
        <w:rPr>
          <w:szCs w:val="22"/>
        </w:rPr>
        <w:t>d</w:t>
      </w:r>
      <w:r w:rsidRPr="00F137CF" w:rsidR="00F137CF">
        <w:rPr>
          <w:szCs w:val="22"/>
        </w:rPr>
        <w:t xml:space="preserve"> apparently violated the Rules and Act and </w:t>
      </w:r>
      <w:r w:rsidR="002910B7">
        <w:rPr>
          <w:szCs w:val="22"/>
        </w:rPr>
        <w:t>was</w:t>
      </w:r>
      <w:r w:rsidRPr="00F137CF" w:rsidR="00F137CF">
        <w:rPr>
          <w:szCs w:val="22"/>
        </w:rPr>
        <w:t xml:space="preserve"> apparently liable for </w:t>
      </w:r>
      <w:r w:rsidR="00F137CF">
        <w:rPr>
          <w:szCs w:val="22"/>
        </w:rPr>
        <w:t xml:space="preserve">a </w:t>
      </w:r>
      <w:r w:rsidRPr="00F137CF" w:rsidR="00F137CF">
        <w:rPr>
          <w:szCs w:val="22"/>
        </w:rPr>
        <w:t>forfeiture</w:t>
      </w:r>
      <w:r w:rsidR="00F137CF">
        <w:rPr>
          <w:szCs w:val="22"/>
        </w:rPr>
        <w:t xml:space="preserve"> of three thousand five hundred ($3,500) dollars.</w:t>
      </w:r>
      <w:r>
        <w:rPr>
          <w:rStyle w:val="FootnoteReference"/>
          <w:szCs w:val="22"/>
        </w:rPr>
        <w:footnoteReference w:id="14"/>
      </w:r>
      <w:r w:rsidR="00C94EB1">
        <w:rPr>
          <w:szCs w:val="22"/>
        </w:rPr>
        <w:t xml:space="preserve">  </w:t>
      </w:r>
      <w:r w:rsidRPr="00C94EB1" w:rsidR="00000FAE">
        <w:rPr>
          <w:szCs w:val="22"/>
        </w:rPr>
        <w:t>CML was offered an opportunity to either pay the forfeiture or submit a written response seeking reduction or cancellation of the proposed forfeiture.</w:t>
      </w:r>
      <w:r>
        <w:rPr>
          <w:rStyle w:val="FootnoteReference"/>
          <w:szCs w:val="22"/>
        </w:rPr>
        <w:footnoteReference w:id="15"/>
      </w:r>
      <w:r w:rsidRPr="00C94EB1" w:rsidR="00000FAE">
        <w:rPr>
          <w:szCs w:val="22"/>
        </w:rPr>
        <w:t xml:space="preserve">  CML did neither</w:t>
      </w:r>
      <w:r w:rsidR="00000FAE">
        <w:t>.</w:t>
      </w:r>
    </w:p>
    <w:p w:rsidR="0072020B" w:rsidRPr="0072020B" w:rsidP="0072020B" w14:paraId="0503D6FD" w14:textId="06FCB3C2">
      <w:pPr>
        <w:pStyle w:val="Heading1"/>
      </w:pPr>
      <w:r>
        <w:t>DISCUSSION</w:t>
      </w:r>
    </w:p>
    <w:p w:rsidR="0072020B" w:rsidP="00C42C83" w14:paraId="6B7DABA8" w14:textId="4C6DA000">
      <w:pPr>
        <w:pStyle w:val="ParaNum"/>
      </w:pPr>
      <w:r w:rsidRPr="0072020B">
        <w:t xml:space="preserve">The forfeiture amount proposed in this case was assessed in accordance with </w:t>
      </w:r>
      <w:r w:rsidRPr="0072020B" w:rsidR="0089279E">
        <w:t>s</w:t>
      </w:r>
      <w:r w:rsidRPr="0072020B">
        <w:t xml:space="preserve">ection 503(b) of the </w:t>
      </w:r>
      <w:r w:rsidRPr="0072020B" w:rsidR="007D14F1">
        <w:t>Act</w:t>
      </w:r>
      <w:r w:rsidRPr="0072020B">
        <w:t>,</w:t>
      </w:r>
      <w:r>
        <w:rPr>
          <w:rStyle w:val="FootnoteReference"/>
          <w:sz w:val="22"/>
          <w:szCs w:val="22"/>
        </w:rPr>
        <w:footnoteReference w:id="16"/>
      </w:r>
      <w:r w:rsidRPr="0072020B">
        <w:t xml:space="preserve"> </w:t>
      </w:r>
      <w:r w:rsidRPr="0072020B" w:rsidR="00BF1525">
        <w:t>s</w:t>
      </w:r>
      <w:r w:rsidRPr="0072020B">
        <w:t xml:space="preserve">ection 1.80 of the </w:t>
      </w:r>
      <w:r w:rsidRPr="0072020B" w:rsidR="0089279E">
        <w:t>r</w:t>
      </w:r>
      <w:r w:rsidRPr="0072020B">
        <w:t>ules,</w:t>
      </w:r>
      <w:r>
        <w:rPr>
          <w:rStyle w:val="FootnoteReference"/>
          <w:sz w:val="22"/>
          <w:szCs w:val="22"/>
        </w:rPr>
        <w:footnoteReference w:id="17"/>
      </w:r>
      <w:r w:rsidRPr="0072020B">
        <w:t xml:space="preserve"> and the Commission’s </w:t>
      </w:r>
      <w:r w:rsidRPr="0072020B">
        <w:rPr>
          <w:i/>
        </w:rPr>
        <w:t>Forfeiture Policy Statement</w:t>
      </w:r>
      <w:r w:rsidRPr="0072020B">
        <w:t>.</w:t>
      </w:r>
      <w:r>
        <w:rPr>
          <w:rStyle w:val="FootnoteReference"/>
          <w:sz w:val="22"/>
          <w:szCs w:val="22"/>
        </w:rPr>
        <w:footnoteReference w:id="18"/>
      </w:r>
      <w:r w:rsidRPr="0072020B">
        <w:t xml:space="preserve">  In assessing forfeitures, </w:t>
      </w:r>
      <w:r w:rsidRPr="0072020B" w:rsidR="00A87645">
        <w:t>s</w:t>
      </w:r>
      <w:r w:rsidRPr="0072020B">
        <w:t>ection 503(b)(2</w:t>
      </w:r>
      <w:r w:rsidR="00C42C83">
        <w:t>)</w:t>
      </w:r>
      <w:r w:rsidRPr="0072020B">
        <w:t xml:space="preserve"> of the Act requires that we </w:t>
      </w:r>
      <w:r w:rsidR="00DA1C45">
        <w:t>“</w:t>
      </w:r>
      <w:r w:rsidRPr="0072020B">
        <w:t>take into account the nature, circumstances, extent and gravity of the violation and, with respect to the violator, the degree of culpability, any history of prior offenses, ability to pay, and such other matters as justice may require.</w:t>
      </w:r>
      <w:r w:rsidR="00DA1C45">
        <w:t>”</w:t>
      </w:r>
      <w:r>
        <w:rPr>
          <w:vertAlign w:val="superscript"/>
        </w:rPr>
        <w:footnoteReference w:id="19"/>
      </w:r>
    </w:p>
    <w:p w:rsidR="0072020B" w:rsidP="00CF6506" w14:paraId="416E1553" w14:textId="2418FC7A">
      <w:pPr>
        <w:pStyle w:val="ParaNum"/>
        <w:widowControl/>
      </w:pPr>
      <w:r>
        <w:t xml:space="preserve">Here, </w:t>
      </w:r>
      <w:r w:rsidR="00000FAE">
        <w:t xml:space="preserve">CML failed to either pay the forfeiture or seek a reduction or cancellation.  </w:t>
      </w:r>
      <w:r w:rsidR="00C94EB1">
        <w:t>T</w:t>
      </w:r>
      <w:r w:rsidR="00D7153B">
        <w:t xml:space="preserve">aking </w:t>
      </w:r>
      <w:r w:rsidR="00C122A3">
        <w:t xml:space="preserve">into account </w:t>
      </w:r>
      <w:r w:rsidRPr="00CC4E35">
        <w:t xml:space="preserve">the above statutory factors, our rules, and the </w:t>
      </w:r>
      <w:r w:rsidRPr="00000FAE">
        <w:rPr>
          <w:i/>
          <w:iCs/>
        </w:rPr>
        <w:t>Forfeiture Policy Statement</w:t>
      </w:r>
      <w:r w:rsidR="00000FAE">
        <w:rPr>
          <w:i/>
          <w:iCs/>
        </w:rPr>
        <w:t xml:space="preserve">, </w:t>
      </w:r>
      <w:r w:rsidRPr="00CC4E35">
        <w:t xml:space="preserve"> </w:t>
      </w:r>
      <w:r w:rsidR="00000FAE">
        <w:t>w</w:t>
      </w:r>
      <w:r w:rsidRPr="00CC4E35">
        <w:t xml:space="preserve">e </w:t>
      </w:r>
      <w:r w:rsidR="00455CE5">
        <w:t>therefore find</w:t>
      </w:r>
      <w:r w:rsidRPr="00CC4E35" w:rsidR="00455CE5">
        <w:t xml:space="preserve"> </w:t>
      </w:r>
      <w:r w:rsidRPr="00CC4E35">
        <w:t xml:space="preserve">that </w:t>
      </w:r>
      <w:r w:rsidR="00000FAE">
        <w:t>CML</w:t>
      </w:r>
      <w:r w:rsidRPr="00CC4E35">
        <w:t xml:space="preserve"> </w:t>
      </w:r>
      <w:r w:rsidRPr="00000FAE" w:rsidR="00CB556B">
        <w:rPr>
          <w:szCs w:val="22"/>
        </w:rPr>
        <w:t xml:space="preserve">willfully </w:t>
      </w:r>
      <w:r w:rsidRPr="00000FAE" w:rsidR="00000FAE">
        <w:rPr>
          <w:szCs w:val="22"/>
        </w:rPr>
        <w:t>violat</w:t>
      </w:r>
      <w:r w:rsidR="00000FAE">
        <w:rPr>
          <w:szCs w:val="22"/>
        </w:rPr>
        <w:t xml:space="preserve">ed </w:t>
      </w:r>
      <w:r w:rsidRPr="00000FAE" w:rsidR="00000FAE">
        <w:rPr>
          <w:szCs w:val="22"/>
        </w:rPr>
        <w:t>section</w:t>
      </w:r>
      <w:r w:rsidR="00000FAE">
        <w:rPr>
          <w:szCs w:val="22"/>
        </w:rPr>
        <w:t xml:space="preserve"> </w:t>
      </w:r>
      <w:r w:rsidRPr="00000FAE" w:rsidR="00000FAE">
        <w:rPr>
          <w:szCs w:val="22"/>
        </w:rPr>
        <w:t xml:space="preserve">73.3598(a) of the </w:t>
      </w:r>
      <w:r w:rsidR="00C94EB1">
        <w:rPr>
          <w:szCs w:val="22"/>
        </w:rPr>
        <w:t>R</w:t>
      </w:r>
      <w:r w:rsidRPr="00000FAE" w:rsidR="00000FAE">
        <w:rPr>
          <w:szCs w:val="22"/>
        </w:rPr>
        <w:t>ules</w:t>
      </w:r>
      <w:r>
        <w:rPr>
          <w:rStyle w:val="FootnoteReference"/>
          <w:szCs w:val="22"/>
        </w:rPr>
        <w:footnoteReference w:id="20"/>
      </w:r>
      <w:r w:rsidRPr="00000FAE" w:rsidR="00000FAE">
        <w:rPr>
          <w:szCs w:val="22"/>
        </w:rPr>
        <w:t xml:space="preserve"> and </w:t>
      </w:r>
      <w:r w:rsidRPr="00C94EB1" w:rsidR="00C94EB1">
        <w:rPr>
          <w:szCs w:val="22"/>
        </w:rPr>
        <w:t>willfully and repeatedly</w:t>
      </w:r>
      <w:r w:rsidR="00C94EB1">
        <w:rPr>
          <w:szCs w:val="22"/>
        </w:rPr>
        <w:t xml:space="preserve"> violated section 73.1745</w:t>
      </w:r>
      <w:r w:rsidR="0025224F">
        <w:rPr>
          <w:szCs w:val="22"/>
        </w:rPr>
        <w:t>(a)</w:t>
      </w:r>
      <w:r w:rsidR="00C94EB1">
        <w:rPr>
          <w:szCs w:val="22"/>
        </w:rPr>
        <w:t xml:space="preserve"> of the Rules and </w:t>
      </w:r>
      <w:r w:rsidRPr="00000FAE" w:rsidR="00000FAE">
        <w:rPr>
          <w:szCs w:val="22"/>
        </w:rPr>
        <w:t xml:space="preserve">section 301 of the </w:t>
      </w:r>
      <w:r w:rsidR="00C94EB1">
        <w:rPr>
          <w:szCs w:val="22"/>
        </w:rPr>
        <w:t>Act</w:t>
      </w:r>
      <w:r w:rsidRPr="00000FAE" w:rsidR="00000FAE">
        <w:rPr>
          <w:szCs w:val="22"/>
        </w:rPr>
        <w:t>.</w:t>
      </w:r>
      <w:r>
        <w:rPr>
          <w:rStyle w:val="FootnoteReference"/>
          <w:szCs w:val="22"/>
        </w:rPr>
        <w:footnoteReference w:id="21"/>
      </w:r>
      <w:r w:rsidRPr="00000FAE" w:rsidR="00CB556B">
        <w:rPr>
          <w:szCs w:val="22"/>
        </w:rPr>
        <w:t xml:space="preserve"> </w:t>
      </w:r>
      <w:r w:rsidR="00455CE5">
        <w:t>Accordingly</w:t>
      </w:r>
      <w:r>
        <w:t xml:space="preserve">, we conclude that </w:t>
      </w:r>
      <w:r w:rsidR="00455CE5">
        <w:t xml:space="preserve">based on the facts and circumstances </w:t>
      </w:r>
      <w:r>
        <w:t xml:space="preserve">a forfeiture in the amount of </w:t>
      </w:r>
      <w:r w:rsidR="00000FAE">
        <w:t>three</w:t>
      </w:r>
      <w:r>
        <w:t xml:space="preserve"> thousand five hundred dollars ($</w:t>
      </w:r>
      <w:r w:rsidR="00000FAE">
        <w:t>3</w:t>
      </w:r>
      <w:r>
        <w:t>,500)</w:t>
      </w:r>
      <w:r w:rsidR="00455CE5">
        <w:t xml:space="preserve">, as proposed in the </w:t>
      </w:r>
      <w:r w:rsidRPr="00000FAE" w:rsidR="00455CE5">
        <w:rPr>
          <w:i/>
          <w:iCs/>
        </w:rPr>
        <w:t>NAL</w:t>
      </w:r>
      <w:r w:rsidRPr="00CC4E35" w:rsidR="00691A6F">
        <w:t xml:space="preserve"> is warranted</w:t>
      </w:r>
      <w:r w:rsidR="00BB5D4C">
        <w:t>.</w:t>
      </w:r>
      <w:r w:rsidR="00455CE5">
        <w:t xml:space="preserve">  Furthermore, a</w:t>
      </w:r>
      <w:r w:rsidR="001E624F">
        <w:t xml:space="preserve">s stated in the </w:t>
      </w:r>
      <w:r w:rsidRPr="00000FAE" w:rsidR="001E624F">
        <w:rPr>
          <w:i/>
          <w:iCs/>
        </w:rPr>
        <w:t>NAL</w:t>
      </w:r>
      <w:r w:rsidR="001E624F">
        <w:t>, w</w:t>
      </w:r>
      <w:r w:rsidRPr="00CB556B" w:rsidR="00CB556B">
        <w:t xml:space="preserve">e will grant the Station’s pending </w:t>
      </w:r>
      <w:r w:rsidR="008369D8">
        <w:t>l</w:t>
      </w:r>
      <w:r w:rsidRPr="00CB556B" w:rsidR="00CB556B">
        <w:t xml:space="preserve">icense </w:t>
      </w:r>
      <w:r w:rsidR="008369D8">
        <w:t>a</w:t>
      </w:r>
      <w:r w:rsidRPr="00CB556B" w:rsidR="00CB556B">
        <w:t>pplication by separate action upon the conclusion of this forfeiture proceeding if there are no issues other than the apparent violations that would preclude grant</w:t>
      </w:r>
      <w:r w:rsidR="00CB556B">
        <w:t>.</w:t>
      </w:r>
      <w:r>
        <w:rPr>
          <w:rStyle w:val="FootnoteReference"/>
        </w:rPr>
        <w:footnoteReference w:id="22"/>
      </w:r>
      <w:r w:rsidR="00723432">
        <w:t xml:space="preserve">  </w:t>
      </w:r>
    </w:p>
    <w:p w:rsidR="00CC4E35" w:rsidP="001E6B52" w14:paraId="76F8C08A" w14:textId="142A1258">
      <w:pPr>
        <w:pStyle w:val="Heading1"/>
      </w:pPr>
      <w:r>
        <w:t>ordering clauses</w:t>
      </w:r>
    </w:p>
    <w:p w:rsidR="0072020B" w:rsidP="00CB556B" w14:paraId="12536AA8" w14:textId="6EA353D7">
      <w:pPr>
        <w:pStyle w:val="ParaNum"/>
      </w:pPr>
      <w:r w:rsidRPr="0072020B">
        <w:t xml:space="preserve">Accordingly, </w:t>
      </w:r>
      <w:r w:rsidRPr="0072020B">
        <w:rPr>
          <w:b/>
          <w:bCs/>
        </w:rPr>
        <w:t>IT IS ORDERED</w:t>
      </w:r>
      <w:r w:rsidRPr="0072020B">
        <w:t>, pursuant to section 503(b) of the Act,</w:t>
      </w:r>
      <w:r>
        <w:rPr>
          <w:rStyle w:val="FootnoteReference"/>
        </w:rPr>
        <w:footnoteReference w:id="23"/>
      </w:r>
      <w:r w:rsidRPr="0072020B">
        <w:t xml:space="preserve"> and sections </w:t>
      </w:r>
      <w:r w:rsidRPr="00CF6506" w:rsidR="00CF6506">
        <w:t>0.61, 0.204, 0.283, and 1.80</w:t>
      </w:r>
      <w:r w:rsidR="00CF6506">
        <w:t xml:space="preserve"> </w:t>
      </w:r>
      <w:r w:rsidRPr="0072020B">
        <w:t xml:space="preserve">of the </w:t>
      </w:r>
      <w:r w:rsidR="0025224F">
        <w:t>R</w:t>
      </w:r>
      <w:r w:rsidRPr="0072020B">
        <w:t>ules,</w:t>
      </w:r>
      <w:r>
        <w:rPr>
          <w:rStyle w:val="FootnoteReference"/>
          <w:sz w:val="22"/>
          <w:szCs w:val="22"/>
        </w:rPr>
        <w:footnoteReference w:id="24"/>
      </w:r>
      <w:r w:rsidRPr="0072020B">
        <w:t xml:space="preserve"> that</w:t>
      </w:r>
      <w:r w:rsidR="00FF3DA2">
        <w:t xml:space="preserve"> Castelli Media, LLC</w:t>
      </w:r>
      <w:r w:rsidRPr="0072020B">
        <w:t xml:space="preserve"> </w:t>
      </w:r>
      <w:r w:rsidRPr="0072020B">
        <w:rPr>
          <w:b/>
          <w:bCs/>
        </w:rPr>
        <w:t>SHALL FORFEIT</w:t>
      </w:r>
      <w:r w:rsidRPr="0072020B">
        <w:t xml:space="preserve"> to the United States the sum o</w:t>
      </w:r>
      <w:r w:rsidR="00CF7A6B">
        <w:t xml:space="preserve">f </w:t>
      </w:r>
      <w:r w:rsidR="00FF3DA2">
        <w:t>three</w:t>
      </w:r>
      <w:r w:rsidR="00CB556B">
        <w:t xml:space="preserve"> thousand five hundred dollars ($</w:t>
      </w:r>
      <w:r w:rsidR="00FF3DA2">
        <w:t>3</w:t>
      </w:r>
      <w:r w:rsidR="00CB556B">
        <w:t>,500</w:t>
      </w:r>
      <w:r w:rsidRPr="0072020B">
        <w:t xml:space="preserve">) for </w:t>
      </w:r>
      <w:r w:rsidR="00CB556B">
        <w:t xml:space="preserve">willfully </w:t>
      </w:r>
      <w:r w:rsidRPr="0069400D" w:rsidR="00CB556B">
        <w:rPr>
          <w:szCs w:val="22"/>
        </w:rPr>
        <w:t>violated section</w:t>
      </w:r>
      <w:r w:rsidR="001E624F">
        <w:rPr>
          <w:szCs w:val="22"/>
        </w:rPr>
        <w:t xml:space="preserve">s </w:t>
      </w:r>
      <w:r w:rsidRPr="0069400D" w:rsidR="00CB556B">
        <w:rPr>
          <w:szCs w:val="22"/>
        </w:rPr>
        <w:t>73.3598(a)</w:t>
      </w:r>
      <w:r>
        <w:rPr>
          <w:rStyle w:val="FootnoteReference"/>
          <w:color w:val="000000"/>
          <w:sz w:val="22"/>
          <w:szCs w:val="22"/>
        </w:rPr>
        <w:footnoteReference w:id="25"/>
      </w:r>
      <w:r w:rsidR="001E624F">
        <w:rPr>
          <w:szCs w:val="22"/>
        </w:rPr>
        <w:t xml:space="preserve"> </w:t>
      </w:r>
      <w:r w:rsidRPr="0069400D" w:rsidR="00CB556B">
        <w:rPr>
          <w:szCs w:val="22"/>
        </w:rPr>
        <w:t>of the</w:t>
      </w:r>
      <w:r w:rsidR="0025224F">
        <w:rPr>
          <w:szCs w:val="22"/>
        </w:rPr>
        <w:t xml:space="preserve"> Rules </w:t>
      </w:r>
      <w:r w:rsidRPr="0069400D" w:rsidR="00CB556B">
        <w:rPr>
          <w:szCs w:val="22"/>
        </w:rPr>
        <w:t xml:space="preserve">by failing to timely file a license to cover application, and willfully and repeatedly violated section 73.1745(a) of the </w:t>
      </w:r>
      <w:r w:rsidR="0025224F">
        <w:rPr>
          <w:szCs w:val="22"/>
        </w:rPr>
        <w:t>R</w:t>
      </w:r>
      <w:r w:rsidRPr="0069400D" w:rsidR="00CB556B">
        <w:rPr>
          <w:szCs w:val="22"/>
        </w:rPr>
        <w:t>ules</w:t>
      </w:r>
      <w:r>
        <w:rPr>
          <w:rStyle w:val="FootnoteReference"/>
          <w:sz w:val="22"/>
          <w:szCs w:val="22"/>
        </w:rPr>
        <w:footnoteReference w:id="26"/>
      </w:r>
      <w:r w:rsidRPr="0069400D" w:rsidR="00CB556B">
        <w:rPr>
          <w:szCs w:val="22"/>
        </w:rPr>
        <w:t xml:space="preserve"> and s</w:t>
      </w:r>
      <w:r w:rsidRPr="004E2BCF" w:rsidR="00CB556B">
        <w:rPr>
          <w:szCs w:val="22"/>
        </w:rPr>
        <w:t>ection 301 of the Act,</w:t>
      </w:r>
      <w:r>
        <w:rPr>
          <w:rStyle w:val="FootnoteReference"/>
          <w:color w:val="000000"/>
          <w:sz w:val="22"/>
          <w:szCs w:val="22"/>
        </w:rPr>
        <w:footnoteReference w:id="27"/>
      </w:r>
      <w:r w:rsidRPr="004E2BCF" w:rsidR="00CB556B">
        <w:rPr>
          <w:szCs w:val="22"/>
        </w:rPr>
        <w:t xml:space="preserve"> by engaging in unauthorized operation</w:t>
      </w:r>
      <w:r w:rsidR="00CB556B">
        <w:rPr>
          <w:szCs w:val="22"/>
        </w:rPr>
        <w:t>.</w:t>
      </w:r>
    </w:p>
    <w:p w:rsidR="00E55AB3" w:rsidP="00E55AB3" w14:paraId="51F209B5" w14:textId="5C0D1BCC">
      <w:pPr>
        <w:pStyle w:val="ParaNum"/>
      </w:pPr>
      <w:bookmarkStart w:id="0" w:name="_Hlk164339862"/>
      <w:r w:rsidRPr="00CF6506">
        <w:rPr>
          <w:b/>
          <w:bCs/>
        </w:rPr>
        <w:t xml:space="preserve">Payment of the forfeiture shall be made within thirty (30) calendar days after the release of this </w:t>
      </w:r>
      <w:r w:rsidRPr="00CF6506">
        <w:rPr>
          <w:b/>
          <w:bCs/>
          <w:i/>
          <w:iCs/>
        </w:rPr>
        <w:t>Forfeiture Order</w:t>
      </w:r>
      <w:r w:rsidRPr="00CF6506">
        <w:rPr>
          <w:b/>
          <w:bCs/>
        </w:rPr>
        <w:t>.</w:t>
      </w:r>
      <w:r>
        <w:rPr>
          <w:rStyle w:val="FootnoteReference"/>
          <w:b/>
          <w:bCs/>
        </w:rPr>
        <w:footnoteReference w:id="28"/>
      </w:r>
      <w:r w:rsidRPr="00CF6506">
        <w:rPr>
          <w:b/>
          <w:bCs/>
        </w:rPr>
        <w:t xml:space="preserve">  Licensee shall send electronic notification of payment to </w:t>
      </w:r>
      <w:hyperlink r:id="rId5" w:history="1">
        <w:r w:rsidRPr="00CF6506" w:rsidR="00CF6506">
          <w:rPr>
            <w:rStyle w:val="Hyperlink"/>
            <w:b/>
            <w:bCs/>
          </w:rPr>
          <w:t>VideoNAL@fcc.gov</w:t>
        </w:r>
      </w:hyperlink>
      <w:r w:rsidRPr="00CF6506">
        <w:rPr>
          <w:b/>
          <w:bCs/>
        </w:rPr>
        <w:t xml:space="preserve">.  </w:t>
      </w:r>
      <w:r>
        <w:t>If the forfeiture is not paid within the period specified, the case may be referred to the U.S. Department of Justice for enforcement of the forfeiture pursuant to section 504(a) of the Act.</w:t>
      </w:r>
      <w:r>
        <w:rPr>
          <w:rStyle w:val="FootnoteReference"/>
        </w:rPr>
        <w:footnoteReference w:id="29"/>
      </w:r>
    </w:p>
    <w:bookmarkEnd w:id="0"/>
    <w:p w:rsidR="00CC4E35" w:rsidP="00C42C83" w14:paraId="2FFBF3F0" w14:textId="4D6B3E25">
      <w:pPr>
        <w:pStyle w:val="ParaNum"/>
        <w:widowControl/>
      </w:pPr>
      <w:r>
        <w:t>Payments shall</w:t>
      </w:r>
      <w:r w:rsidRPr="00FF3DA2">
        <w:rPr>
          <w:b/>
          <w:bCs/>
        </w:rPr>
        <w:t xml:space="preserve"> </w:t>
      </w:r>
      <w:r w:rsidRPr="00FF3DA2" w:rsidR="0072020B">
        <w:t>b</w:t>
      </w:r>
      <w:r>
        <w:t>e</w:t>
      </w:r>
      <w:r w:rsidRPr="00FF3DA2" w:rsidR="0072020B">
        <w:t xml:space="preserve"> </w:t>
      </w:r>
      <w:r>
        <w:t xml:space="preserve">made by </w:t>
      </w:r>
      <w:r w:rsidRPr="00FF3DA2" w:rsidR="0072020B">
        <w:t>credit card,</w:t>
      </w:r>
      <w:r w:rsidRPr="0072020B" w:rsidR="0072020B">
        <w:t xml:space="preserve"> ACH (Automated Clearing House) debit from a bank account using CORES (the Commission’s online payment system),</w:t>
      </w:r>
      <w:r>
        <w:rPr>
          <w:rStyle w:val="FootnoteReference"/>
          <w:sz w:val="22"/>
          <w:szCs w:val="22"/>
        </w:rPr>
        <w:footnoteReference w:id="30"/>
      </w:r>
      <w:r w:rsidRPr="0072020B" w:rsidR="0072020B">
        <w:t xml:space="preserve"> or by wire transfer.  Payments by check or money order to pay a forfeiture are no longer accepted.  </w:t>
      </w:r>
      <w:r w:rsidRPr="00CC4E35" w:rsidR="0072020B">
        <w:t>Below are instructions that payors should follow based on the form of payment selected:</w:t>
      </w:r>
      <w:r>
        <w:rPr>
          <w:rStyle w:val="FootnoteReference"/>
          <w:sz w:val="22"/>
          <w:szCs w:val="22"/>
        </w:rPr>
        <w:footnoteReference w:id="31"/>
      </w:r>
      <w:r w:rsidRPr="00CC4E35" w:rsidR="0072020B">
        <w:t xml:space="preserve"> </w:t>
      </w:r>
    </w:p>
    <w:p w:rsidR="00CC4E35" w:rsidRPr="00CC4E35" w:rsidP="00C42C83" w14:paraId="20E10D83" w14:textId="3B3E3DD5">
      <w:pPr>
        <w:pStyle w:val="ParaNum"/>
        <w:widowControl/>
        <w:numPr>
          <w:ilvl w:val="0"/>
          <w:numId w:val="25"/>
        </w:numPr>
        <w:tabs>
          <w:tab w:val="left" w:pos="1440"/>
        </w:tabs>
        <w:spacing w:after="220"/>
        <w:rPr>
          <w:b/>
          <w:szCs w:val="22"/>
        </w:rPr>
      </w:pPr>
      <w:r w:rsidRPr="00CC4E35">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CC4E35">
          <w:rPr>
            <w:rStyle w:val="Hyperlink"/>
            <w:szCs w:val="22"/>
          </w:rPr>
          <w:t>RROGWireFaxes@fcc.gov</w:t>
        </w:r>
      </w:hyperlink>
      <w:r w:rsidRPr="00CC4E35">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2"/>
      </w:r>
      <w:r w:rsidRPr="00CC4E35">
        <w:rPr>
          <w:szCs w:val="22"/>
        </w:rPr>
        <w:t xml:space="preserve">  For additional detail and wire transfer instructions, go to </w:t>
      </w:r>
      <w:hyperlink r:id="rId7" w:history="1">
        <w:r w:rsidRPr="00CC4E35">
          <w:rPr>
            <w:rStyle w:val="Hyperlink"/>
            <w:szCs w:val="22"/>
          </w:rPr>
          <w:t>https://www.fcc.gov/licensing-databases/fees/wire-transfer</w:t>
        </w:r>
      </w:hyperlink>
      <w:r w:rsidRPr="00CC4E35">
        <w:rPr>
          <w:szCs w:val="22"/>
        </w:rPr>
        <w:t>.</w:t>
      </w:r>
    </w:p>
    <w:p w:rsidR="00CC4E35" w:rsidRPr="00CC4E35" w:rsidP="00C42C83" w14:paraId="1DA7D8A9" w14:textId="5DD6E1A1">
      <w:pPr>
        <w:pStyle w:val="ParaNum"/>
        <w:widowControl/>
        <w:numPr>
          <w:ilvl w:val="0"/>
          <w:numId w:val="25"/>
        </w:numPr>
        <w:tabs>
          <w:tab w:val="left" w:pos="1440"/>
        </w:tabs>
        <w:spacing w:after="220"/>
        <w:rPr>
          <w:szCs w:val="22"/>
        </w:rPr>
      </w:pPr>
      <w:r w:rsidRPr="00CC4E35">
        <w:rPr>
          <w:szCs w:val="22"/>
        </w:rPr>
        <w:t xml:space="preserve">Payment by credit card must be made by using the Commission’s Registration System (CORES) at </w:t>
      </w:r>
      <w:hyperlink r:id="rId8" w:history="1">
        <w:r w:rsidRPr="00CC4E35">
          <w:rPr>
            <w:rStyle w:val="Hyperlink"/>
            <w:szCs w:val="22"/>
          </w:rPr>
          <w:t>https://apps.fcc.gov/cores/userLogin.do</w:t>
        </w:r>
      </w:hyperlink>
      <w:r w:rsidRPr="00CC4E35">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sidRPr="00CC4E35">
        <w:rPr>
          <w:szCs w:val="22"/>
        </w:rPr>
        <w:t>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CC4E35" w:rsidRPr="00CC4E35" w:rsidP="00C42C83" w14:paraId="3939CA53" w14:textId="179AC1BF">
      <w:pPr>
        <w:pStyle w:val="ParaNum"/>
        <w:widowControl/>
        <w:numPr>
          <w:ilvl w:val="0"/>
          <w:numId w:val="25"/>
        </w:numPr>
        <w:tabs>
          <w:tab w:val="left" w:pos="1440"/>
        </w:tabs>
        <w:spacing w:after="220"/>
        <w:rPr>
          <w:szCs w:val="22"/>
        </w:rPr>
      </w:pPr>
      <w:r w:rsidRPr="00CC4E35">
        <w:rPr>
          <w:szCs w:val="22"/>
        </w:rPr>
        <w:t xml:space="preserve">Payment by ACH must be made by using the Commission’s Registration System (CORES) at </w:t>
      </w:r>
      <w:hyperlink r:id="rId9" w:history="1">
        <w:r w:rsidRPr="00CC4E35">
          <w:rPr>
            <w:rStyle w:val="Hyperlink"/>
            <w:szCs w:val="22"/>
          </w:rPr>
          <w:t>https://apps.fcc.gov/cores/paymentFrnLogin.do</w:t>
        </w:r>
      </w:hyperlink>
      <w:r w:rsidRPr="00CC4E35">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B556B" w:rsidP="002E2D58" w14:paraId="353B33D2" w14:textId="6A742709">
      <w:pPr>
        <w:pStyle w:val="ParaNum"/>
      </w:pPr>
      <w:r w:rsidRPr="00CC4E35">
        <w:t xml:space="preserve">Requests for full payment of the forfeiture proposed in this </w:t>
      </w:r>
      <w:r w:rsidRPr="002910B7">
        <w:rPr>
          <w:i/>
          <w:iCs/>
        </w:rPr>
        <w:t xml:space="preserve">Forfeiture Order </w:t>
      </w:r>
      <w:r w:rsidRPr="00CC4E35">
        <w:t>under an installment plan should be sent to: Associate Managing Director-Financial Operations, 45 L Street, NE, Washington, DC 20554.</w:t>
      </w:r>
      <w:r>
        <w:rPr>
          <w:rStyle w:val="FootnoteReference"/>
          <w:szCs w:val="22"/>
        </w:rPr>
        <w:footnoteReference w:id="33"/>
      </w:r>
      <w:r w:rsidRPr="00CC4E35">
        <w:t xml:space="preserve">  Questions regarding payment procedures should be directed to the Financial Operations Group Help Desk by phone, 1-877-480-3201 (option #6), or by e-mail at </w:t>
      </w:r>
      <w:hyperlink r:id="rId10" w:history="1">
        <w:r w:rsidRPr="0009666D">
          <w:rPr>
            <w:rStyle w:val="Hyperlink"/>
            <w:szCs w:val="22"/>
          </w:rPr>
          <w:t>ARINQUIRIES@fcc.gov</w:t>
        </w:r>
      </w:hyperlink>
      <w:r w:rsidRPr="00CC4E35">
        <w:t>.</w:t>
      </w:r>
    </w:p>
    <w:p w:rsidR="00FF3DA2" w:rsidRPr="00FF3DA2" w:rsidP="00FF3DA2" w14:paraId="5EFC2476" w14:textId="2A575BB0">
      <w:pPr>
        <w:pStyle w:val="ParaNum"/>
      </w:pPr>
      <w:r w:rsidRPr="00FF3DA2">
        <w:rPr>
          <w:b/>
          <w:szCs w:val="22"/>
        </w:rPr>
        <w:t>IT IS FURTHER ORDERED</w:t>
      </w:r>
      <w:r w:rsidRPr="00FF3DA2">
        <w:rPr>
          <w:szCs w:val="22"/>
        </w:rPr>
        <w:t xml:space="preserve"> that copies of this </w:t>
      </w:r>
      <w:r>
        <w:rPr>
          <w:i/>
          <w:szCs w:val="22"/>
        </w:rPr>
        <w:t>Forfeiture Order</w:t>
      </w:r>
      <w:r w:rsidRPr="00FF3DA2">
        <w:rPr>
          <w:szCs w:val="22"/>
        </w:rPr>
        <w:t xml:space="preserve"> shall be sent by First Class and Certified Mail, Return Receipt Requested, to Castelli Media, LLC, 9925 Haynes Bridge Road, Suite 200-155, Alpharetta, GA 30022, as well as e-mailed to: </w:t>
      </w:r>
      <w:hyperlink r:id="rId11" w:history="1">
        <w:r w:rsidRPr="00FF3DA2">
          <w:rPr>
            <w:rStyle w:val="Hyperlink"/>
            <w:szCs w:val="22"/>
          </w:rPr>
          <w:t>castellimedialasvegas@gmail.com</w:t>
        </w:r>
      </w:hyperlink>
      <w:r w:rsidRPr="00FF3DA2">
        <w:rPr>
          <w:szCs w:val="22"/>
        </w:rPr>
        <w:t xml:space="preserve"> and a copy mailed to: Dan J. Alpert, Esq, 2120 N. 21st Rd., Arlington, VA 22201 and e-mailed to:  </w:t>
      </w:r>
      <w:hyperlink r:id="rId12" w:history="1">
        <w:r w:rsidRPr="00FF3DA2">
          <w:rPr>
            <w:rStyle w:val="Hyperlink"/>
            <w:szCs w:val="22"/>
          </w:rPr>
          <w:t>dja@commlaw.tv</w:t>
        </w:r>
      </w:hyperlink>
      <w:r w:rsidRPr="00FF3DA2">
        <w:rPr>
          <w:szCs w:val="22"/>
        </w:rPr>
        <w:t>.</w:t>
      </w:r>
    </w:p>
    <w:p w:rsidR="00BB5D4C" w:rsidP="00CB556B" w14:paraId="34259040" w14:textId="5B112310">
      <w:pPr>
        <w:pStyle w:val="ParaNum"/>
        <w:numPr>
          <w:ilvl w:val="0"/>
          <w:numId w:val="0"/>
        </w:numPr>
      </w:pPr>
      <w:r>
        <w:tab/>
      </w:r>
      <w:r>
        <w:tab/>
      </w:r>
      <w:r>
        <w:tab/>
      </w:r>
      <w:r>
        <w:tab/>
      </w:r>
      <w:r>
        <w:tab/>
      </w:r>
      <w:r>
        <w:tab/>
        <w:t>FEDERAL COMMUNICATIONS COMMISSION</w:t>
      </w:r>
    </w:p>
    <w:p w:rsidR="00CB556B" w:rsidP="0017296B" w14:paraId="16D8637A" w14:textId="77777777"/>
    <w:p w:rsidR="007A52B4" w:rsidP="0017296B" w14:paraId="548F52F1" w14:textId="77777777"/>
    <w:p w:rsidR="00BB5D4C" w:rsidP="0017296B" w14:paraId="76F39BCB" w14:textId="77777777"/>
    <w:p w:rsidR="00CF6506" w:rsidP="0017296B" w14:paraId="4442DD80" w14:textId="77777777">
      <w:r>
        <w:tab/>
      </w:r>
      <w:r>
        <w:tab/>
      </w:r>
      <w:r>
        <w:tab/>
      </w:r>
      <w:r>
        <w:tab/>
      </w:r>
      <w:r>
        <w:tab/>
      </w:r>
      <w:r>
        <w:tab/>
      </w:r>
      <w:r>
        <w:t>Barbara A. Kreisman</w:t>
      </w:r>
    </w:p>
    <w:p w:rsidR="00BB5D4C" w:rsidP="00CF6506" w14:paraId="72D46B8B" w14:textId="269C5C0D">
      <w:pPr>
        <w:ind w:left="3600" w:firstLine="720"/>
      </w:pPr>
      <w:r>
        <w:t>Chief, Video Division</w:t>
      </w:r>
    </w:p>
    <w:p w:rsidR="00412FC5" w:rsidRPr="00335A80" w:rsidP="00126708" w14:paraId="3C8FD68A" w14:textId="57842B26">
      <w:pPr>
        <w:ind w:left="3600" w:firstLine="720"/>
      </w:pPr>
      <w:r>
        <w:t xml:space="preserve">Media Bureau </w:t>
      </w:r>
    </w:p>
    <w:sectPr w:rsidSect="00CF6506">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3C8FD691" w14:textId="77777777">
    <w:pPr>
      <w:pStyle w:val="Footer"/>
      <w:framePr w:wrap="around" w:vAnchor="text" w:hAnchor="margin" w:xAlign="center" w:y="1"/>
    </w:pPr>
    <w:r>
      <w:fldChar w:fldCharType="begin"/>
    </w:r>
    <w:r>
      <w:instrText xml:space="preserve">PAGE  </w:instrText>
    </w:r>
    <w:r w:rsidR="000555B7">
      <w:fldChar w:fldCharType="separate"/>
    </w:r>
    <w:r>
      <w:fldChar w:fldCharType="end"/>
    </w:r>
  </w:p>
  <w:p w:rsidR="00A35A37" w14:paraId="3C8FD6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9724F1" w14:paraId="3C8FD694" w14:textId="6035215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3C8FD6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6506" w14:paraId="6CF2F9A7" w14:textId="77777777">
      <w:r>
        <w:separator/>
      </w:r>
    </w:p>
  </w:footnote>
  <w:footnote w:type="continuationSeparator" w:id="1">
    <w:p w:rsidR="00CF6506" w:rsidP="00C721AC" w14:paraId="4C161E74" w14:textId="77777777">
      <w:pPr>
        <w:spacing w:before="120"/>
        <w:rPr>
          <w:sz w:val="20"/>
        </w:rPr>
      </w:pPr>
      <w:r>
        <w:rPr>
          <w:sz w:val="20"/>
        </w:rPr>
        <w:t xml:space="preserve">(Continued from previous page)  </w:t>
      </w:r>
      <w:r>
        <w:rPr>
          <w:sz w:val="20"/>
        </w:rPr>
        <w:separator/>
      </w:r>
    </w:p>
  </w:footnote>
  <w:footnote w:type="continuationNotice" w:id="2">
    <w:p w:rsidR="00CF6506" w:rsidP="00C721AC" w14:paraId="670E795C" w14:textId="77777777">
      <w:pPr>
        <w:jc w:val="right"/>
        <w:rPr>
          <w:sz w:val="20"/>
        </w:rPr>
      </w:pPr>
      <w:r>
        <w:rPr>
          <w:sz w:val="20"/>
        </w:rPr>
        <w:t>(continued….)</w:t>
      </w:r>
    </w:p>
  </w:footnote>
  <w:footnote w:id="3">
    <w:p w:rsidR="00FB4671" w:rsidRPr="0095363A" w:rsidP="00FB4671" w14:paraId="3603D54F" w14:textId="0D9E43F7">
      <w:pPr>
        <w:shd w:val="clear" w:color="auto" w:fill="FFFFFF"/>
        <w:tabs>
          <w:tab w:val="left" w:pos="125"/>
        </w:tabs>
        <w:spacing w:after="120"/>
        <w:ind w:left="14"/>
        <w:rPr>
          <w:sz w:val="20"/>
        </w:rPr>
      </w:pPr>
      <w:r w:rsidRPr="0095363A">
        <w:rPr>
          <w:rStyle w:val="FootnoteReference"/>
        </w:rPr>
        <w:footnoteRef/>
      </w:r>
      <w:r w:rsidRPr="0095363A">
        <w:rPr>
          <w:sz w:val="20"/>
        </w:rPr>
        <w:t xml:space="preserve"> 47 CFR § 73.3598(a).</w:t>
      </w:r>
    </w:p>
  </w:footnote>
  <w:footnote w:id="4">
    <w:p w:rsidR="00FB4671" w:rsidRPr="0095363A" w:rsidP="00FB4671" w14:paraId="4C1B021A" w14:textId="77777777">
      <w:pPr>
        <w:pStyle w:val="FootnoteText"/>
      </w:pPr>
      <w:r w:rsidRPr="0095363A">
        <w:rPr>
          <w:rStyle w:val="FootnoteReference"/>
        </w:rPr>
        <w:footnoteRef/>
      </w:r>
      <w:r w:rsidRPr="0095363A">
        <w:t xml:space="preserve"> 47 CFR § 73.1745(a).</w:t>
      </w:r>
    </w:p>
  </w:footnote>
  <w:footnote w:id="5">
    <w:p w:rsidR="00FB4671" w:rsidRPr="0095363A" w:rsidP="00FB4671" w14:paraId="432C8772" w14:textId="77777777">
      <w:pPr>
        <w:shd w:val="clear" w:color="auto" w:fill="FFFFFF"/>
        <w:tabs>
          <w:tab w:val="left" w:pos="125"/>
        </w:tabs>
        <w:spacing w:after="120"/>
        <w:ind w:left="14"/>
        <w:rPr>
          <w:sz w:val="20"/>
        </w:rPr>
      </w:pPr>
      <w:r w:rsidRPr="0095363A">
        <w:rPr>
          <w:rStyle w:val="FootnoteReference"/>
        </w:rPr>
        <w:footnoteRef/>
      </w:r>
      <w:r w:rsidRPr="0095363A">
        <w:rPr>
          <w:sz w:val="20"/>
        </w:rPr>
        <w:t xml:space="preserve"> </w:t>
      </w:r>
      <w:r w:rsidRPr="0095363A">
        <w:rPr>
          <w:i/>
          <w:sz w:val="20"/>
        </w:rPr>
        <w:t>See</w:t>
      </w:r>
      <w:r w:rsidRPr="0095363A">
        <w:rPr>
          <w:sz w:val="20"/>
        </w:rPr>
        <w:t xml:space="preserve"> 47 U.S.C. § 301.</w:t>
      </w:r>
    </w:p>
  </w:footnote>
  <w:footnote w:id="6">
    <w:p w:rsidR="00FF3DA2" w:rsidRPr="00FF3DA2" w14:paraId="79382E55" w14:textId="139D729A">
      <w:pPr>
        <w:pStyle w:val="FootnoteText"/>
      </w:pPr>
      <w:r>
        <w:rPr>
          <w:rStyle w:val="FootnoteReference"/>
        </w:rPr>
        <w:footnoteRef/>
      </w:r>
      <w:r>
        <w:t xml:space="preserve"> </w:t>
      </w:r>
      <w:r>
        <w:rPr>
          <w:i/>
          <w:iCs/>
        </w:rPr>
        <w:t>See</w:t>
      </w:r>
      <w:r>
        <w:t xml:space="preserve"> </w:t>
      </w:r>
      <w:r>
        <w:rPr>
          <w:i/>
          <w:iCs/>
        </w:rPr>
        <w:t>Castelli Media, LLC</w:t>
      </w:r>
      <w:r>
        <w:t>, Memorandum Opinion and Order and Notice of Apparent Liability, DA 23-200 (MB 2023).</w:t>
      </w:r>
    </w:p>
  </w:footnote>
  <w:footnote w:id="7">
    <w:p w:rsidR="00FF3DA2" w:rsidRPr="00FF3DA2" w14:paraId="79D78DAC" w14:textId="05EAA766">
      <w:pPr>
        <w:pStyle w:val="FootnoteText"/>
      </w:pPr>
      <w:r>
        <w:rPr>
          <w:rStyle w:val="FootnoteReference"/>
        </w:rPr>
        <w:footnoteRef/>
      </w:r>
      <w:r>
        <w:t xml:space="preserve"> </w:t>
      </w:r>
      <w:r>
        <w:rPr>
          <w:i/>
          <w:iCs/>
        </w:rPr>
        <w:t>Id.</w:t>
      </w:r>
      <w:r>
        <w:t xml:space="preserve"> at 2.</w:t>
      </w:r>
    </w:p>
  </w:footnote>
  <w:footnote w:id="8">
    <w:p w:rsidR="00AD1F3A" w:rsidRPr="007817A9" w:rsidP="00AD1F3A" w14:paraId="4FFC43ED" w14:textId="77777777">
      <w:pPr>
        <w:pStyle w:val="FootnoteText"/>
      </w:pPr>
      <w:r>
        <w:rPr>
          <w:rStyle w:val="FootnoteReference"/>
        </w:rPr>
        <w:footnoteRef/>
      </w:r>
      <w:r>
        <w:t xml:space="preserve"> </w:t>
      </w:r>
      <w:r>
        <w:rPr>
          <w:i/>
          <w:iCs/>
        </w:rPr>
        <w:t>See</w:t>
      </w:r>
      <w:r>
        <w:t xml:space="preserve"> Letter to Castelli Media LLC from Barbara A. Kreisman, Chief, Video Division (Sept. 12, 2023) a copy of which is available at LMS File No. 0000210687.</w:t>
      </w:r>
      <w:r w:rsidRPr="007817A9">
        <w:t xml:space="preserve"> </w:t>
      </w:r>
    </w:p>
  </w:footnote>
  <w:footnote w:id="9">
    <w:p w:rsidR="00AD1F3A" w:rsidRPr="007817A9" w:rsidP="00AD1F3A" w14:paraId="1BC6BC0F" w14:textId="77777777">
      <w:pPr>
        <w:pStyle w:val="FootnoteText"/>
        <w:widowControl w:val="0"/>
      </w:pPr>
      <w:r>
        <w:rPr>
          <w:rStyle w:val="FootnoteReference"/>
        </w:rPr>
        <w:footnoteRef/>
      </w:r>
      <w:r>
        <w:t xml:space="preserve">  </w:t>
      </w:r>
      <w:r>
        <w:rPr>
          <w:i/>
          <w:iCs/>
        </w:rPr>
        <w:t xml:space="preserve">See </w:t>
      </w:r>
      <w:r>
        <w:t xml:space="preserve">Castelli Media, LLC Petition for Reconsideration (Oct. 12, 2023) (Petition) a copy of which is available at LMS File No. 0000232484. </w:t>
      </w:r>
    </w:p>
  </w:footnote>
  <w:footnote w:id="10">
    <w:p w:rsidR="00AD1F3A" w:rsidRPr="00D32409" w:rsidP="00AD1F3A" w14:paraId="30E76C40" w14:textId="78588C9F">
      <w:pPr>
        <w:pStyle w:val="FootnoteText"/>
      </w:pPr>
      <w:r>
        <w:rPr>
          <w:rStyle w:val="FootnoteReference"/>
        </w:rPr>
        <w:footnoteRef/>
      </w:r>
      <w:r>
        <w:t xml:space="preserve"> </w:t>
      </w:r>
      <w:r>
        <w:rPr>
          <w:i/>
          <w:iCs/>
        </w:rPr>
        <w:t>See</w:t>
      </w:r>
      <w:r>
        <w:t xml:space="preserve"> E-Mail to Castelli Media, LLC from Shaun Maher, Video Division (Dec. 11, 2023)</w:t>
      </w:r>
      <w:r w:rsidR="002910B7">
        <w:t xml:space="preserve"> (Division Email)</w:t>
      </w:r>
      <w:r>
        <w:t>, a copy of which is available at LMS File No. 0000232484.</w:t>
      </w:r>
    </w:p>
  </w:footnote>
  <w:footnote w:id="11">
    <w:p w:rsidR="00AD1F3A" w:rsidP="00AD1F3A" w14:paraId="393090FE" w14:textId="0249E076">
      <w:pPr>
        <w:pStyle w:val="FootnoteText"/>
      </w:pPr>
      <w:r>
        <w:rPr>
          <w:rStyle w:val="FootnoteReference"/>
        </w:rPr>
        <w:footnoteRef/>
      </w:r>
      <w:r>
        <w:t xml:space="preserve"> </w:t>
      </w:r>
      <w:r w:rsidRPr="000A4DEF">
        <w:rPr>
          <w:iCs/>
        </w:rPr>
        <w:t xml:space="preserve">A waiver is appropriate where the particular facts would make strict compliance inconsistent with the public interest and deviation from the general rule would relieve hardship, promote equity, or produce a more effective implementation of overall policy on an individual basis.  </w:t>
      </w:r>
      <w:r w:rsidRPr="000A4DEF">
        <w:rPr>
          <w:i/>
        </w:rPr>
        <w:t>Northeast Cellular Telephone Co. v. FCC</w:t>
      </w:r>
      <w:r w:rsidRPr="000A4DEF">
        <w:t xml:space="preserve">, 897 F.2d 1164, 1166 (D.C. Cir. 1990) and </w:t>
      </w:r>
      <w:r w:rsidRPr="000A4DEF">
        <w:rPr>
          <w:i/>
        </w:rPr>
        <w:t>WAIT Radio v. FCC</w:t>
      </w:r>
      <w:r w:rsidRPr="000A4DEF">
        <w:t>, 418 F.2d 1153, 1159 (D.C. Cir. 1969),</w:t>
      </w:r>
      <w:r w:rsidRPr="000A4DEF">
        <w:rPr>
          <w:i/>
        </w:rPr>
        <w:t xml:space="preserve"> cert. denied</w:t>
      </w:r>
      <w:r w:rsidRPr="000A4DEF">
        <w:t xml:space="preserve">, 409 U.S. 1072 (1972); 47 CFR § 1.3 (waiver for good cause shown).  Providing relief in instances where a licensee has failed to file an application for license to cover, but clearly completed construction prior to its authorized facility prior to the construction expiration date is consistent with Commission precedent.  </w:t>
      </w:r>
      <w:r w:rsidRPr="000A4DEF">
        <w:rPr>
          <w:i/>
          <w:iCs/>
        </w:rPr>
        <w:t>See</w:t>
      </w:r>
      <w:r>
        <w:rPr>
          <w:i/>
          <w:iCs/>
        </w:rPr>
        <w:t>,</w:t>
      </w:r>
      <w:r w:rsidRPr="000A4DEF">
        <w:rPr>
          <w:i/>
          <w:iCs/>
        </w:rPr>
        <w:t xml:space="preserve"> e.g.</w:t>
      </w:r>
      <w:r w:rsidRPr="00EB258A">
        <w:t>,</w:t>
      </w:r>
      <w:r w:rsidRPr="000A4DEF">
        <w:t xml:space="preserve"> </w:t>
      </w:r>
      <w:r w:rsidRPr="000A4DEF">
        <w:rPr>
          <w:i/>
          <w:iCs/>
        </w:rPr>
        <w:t>Clear Channel Broadcasting Licenses, Inc.</w:t>
      </w:r>
      <w:r w:rsidRPr="000A4DEF">
        <w:t xml:space="preserve">, Memorandum Opinion and Order, 26 FCC </w:t>
      </w:r>
      <w:r w:rsidRPr="000A4DEF">
        <w:t>Rcd</w:t>
      </w:r>
      <w:r w:rsidRPr="000A4DEF">
        <w:t xml:space="preserve"> 7153, 7157, para</w:t>
      </w:r>
      <w:r>
        <w:t>.</w:t>
      </w:r>
      <w:r w:rsidRPr="000A4DEF">
        <w:t xml:space="preserve"> 11 (2011) (upholding as proper the Bureau’s practice of processing a late-filed covering license application for facilities fully completed by the construction deadline through the waiver process); </w:t>
      </w:r>
      <w:r w:rsidRPr="000A4DEF">
        <w:rPr>
          <w:i/>
          <w:iCs/>
        </w:rPr>
        <w:t>Cranesville</w:t>
      </w:r>
      <w:r w:rsidRPr="000A4DEF">
        <w:rPr>
          <w:i/>
          <w:iCs/>
        </w:rPr>
        <w:t xml:space="preserve"> Block Company, Inc.</w:t>
      </w:r>
      <w:r w:rsidRPr="000A4DEF">
        <w:t xml:space="preserve">, Letter Order, 27 FCC </w:t>
      </w:r>
      <w:r w:rsidRPr="000A4DEF">
        <w:t>Rcd</w:t>
      </w:r>
      <w:r w:rsidRPr="000A4DEF">
        <w:t xml:space="preserve"> 2018, 2019-20 (MB 2012) (dismissing a petition for reconsideration of an expired construction permit as procedurally improper and treating it instead as a request for waiver).  </w:t>
      </w:r>
      <w:r>
        <w:t>The Division found t</w:t>
      </w:r>
      <w:r w:rsidRPr="000A4DEF">
        <w:t xml:space="preserve">hat based on the specific facts and circumstances presented here waiver </w:t>
      </w:r>
      <w:r>
        <w:t>was</w:t>
      </w:r>
      <w:r w:rsidRPr="000A4DEF">
        <w:t xml:space="preserve"> warranted.</w:t>
      </w:r>
      <w:r w:rsidR="002910B7">
        <w:t xml:space="preserve">  </w:t>
      </w:r>
      <w:r w:rsidR="002910B7">
        <w:rPr>
          <w:i/>
          <w:iCs/>
        </w:rPr>
        <w:t>See Division Email</w:t>
      </w:r>
      <w:r w:rsidR="002910B7">
        <w:t xml:space="preserve">, </w:t>
      </w:r>
      <w:r w:rsidR="002910B7">
        <w:rPr>
          <w:i/>
          <w:iCs/>
        </w:rPr>
        <w:t>supra</w:t>
      </w:r>
      <w:r w:rsidR="002910B7">
        <w:t xml:space="preserve"> n. 8. </w:t>
      </w:r>
    </w:p>
  </w:footnote>
  <w:footnote w:id="12">
    <w:p w:rsidR="00AD1F3A" w:rsidP="00AD1F3A" w14:paraId="17372D87" w14:textId="77777777">
      <w:pPr>
        <w:pStyle w:val="FootnoteText"/>
      </w:pPr>
      <w:r>
        <w:rPr>
          <w:rStyle w:val="FootnoteReference"/>
        </w:rPr>
        <w:footnoteRef/>
      </w:r>
      <w:r>
        <w:t xml:space="preserve"> LMS File No. 0000232484.</w:t>
      </w:r>
    </w:p>
  </w:footnote>
  <w:footnote w:id="13">
    <w:p w:rsidR="00F137CF" w:rsidRPr="00F137CF" w14:paraId="6B18294C" w14:textId="6734BF6B">
      <w:pPr>
        <w:pStyle w:val="FootnoteText"/>
      </w:pPr>
      <w:r>
        <w:rPr>
          <w:rStyle w:val="FootnoteReference"/>
        </w:rPr>
        <w:footnoteRef/>
      </w:r>
      <w:r>
        <w:t xml:space="preserve"> </w:t>
      </w:r>
      <w:r>
        <w:rPr>
          <w:i/>
          <w:iCs/>
        </w:rPr>
        <w:t>NAL</w:t>
      </w:r>
      <w:r>
        <w:t xml:space="preserve"> at 3 </w:t>
      </w:r>
      <w:r>
        <w:rPr>
          <w:i/>
          <w:iCs/>
        </w:rPr>
        <w:t xml:space="preserve">citing </w:t>
      </w:r>
      <w:r>
        <w:t>47 CFR § 73.1745.</w:t>
      </w:r>
    </w:p>
  </w:footnote>
  <w:footnote w:id="14">
    <w:p w:rsidR="00F137CF" w:rsidRPr="00F137CF" w14:paraId="6887BFE3" w14:textId="6DA060AF">
      <w:pPr>
        <w:pStyle w:val="FootnoteText"/>
      </w:pPr>
      <w:r>
        <w:rPr>
          <w:rStyle w:val="FootnoteReference"/>
        </w:rPr>
        <w:footnoteRef/>
      </w:r>
      <w:r>
        <w:t xml:space="preserve"> </w:t>
      </w:r>
      <w:r w:rsidR="00000FAE">
        <w:rPr>
          <w:i/>
          <w:iCs/>
        </w:rPr>
        <w:t>Id.</w:t>
      </w:r>
      <w:r>
        <w:rPr>
          <w:i/>
          <w:iCs/>
        </w:rPr>
        <w:t xml:space="preserve"> </w:t>
      </w:r>
      <w:r>
        <w:t xml:space="preserve">at </w:t>
      </w:r>
      <w:r w:rsidR="002910B7">
        <w:t>3</w:t>
      </w:r>
      <w:r w:rsidR="00000FAE">
        <w:t>.</w:t>
      </w:r>
    </w:p>
  </w:footnote>
  <w:footnote w:id="15">
    <w:p w:rsidR="00000FAE" w:rsidRPr="00000FAE" w14:paraId="7EC7B11B" w14:textId="3CAA113C">
      <w:pPr>
        <w:pStyle w:val="FootnoteText"/>
      </w:pPr>
      <w:r>
        <w:rPr>
          <w:rStyle w:val="FootnoteReference"/>
        </w:rPr>
        <w:footnoteRef/>
      </w:r>
      <w:r>
        <w:t xml:space="preserve"> </w:t>
      </w:r>
      <w:r>
        <w:rPr>
          <w:i/>
          <w:iCs/>
        </w:rPr>
        <w:t>Id</w:t>
      </w:r>
      <w:r w:rsidR="002910B7">
        <w:rPr>
          <w:i/>
          <w:iCs/>
        </w:rPr>
        <w:t>.</w:t>
      </w:r>
      <w:r>
        <w:t xml:space="preserve"> at </w:t>
      </w:r>
      <w:r w:rsidR="002910B7">
        <w:t>5.</w:t>
      </w:r>
    </w:p>
  </w:footnote>
  <w:footnote w:id="16">
    <w:p w:rsidR="00AB0C6F" w:rsidP="00AB0C6F" w14:paraId="1AD59C64" w14:textId="77777777">
      <w:pPr>
        <w:pStyle w:val="FootnoteText"/>
      </w:pPr>
      <w:r>
        <w:rPr>
          <w:rStyle w:val="FootnoteReference"/>
        </w:rPr>
        <w:footnoteRef/>
      </w:r>
      <w:r>
        <w:t xml:space="preserve"> 47 U.S.C. § 503(b).</w:t>
      </w:r>
    </w:p>
  </w:footnote>
  <w:footnote w:id="17">
    <w:p w:rsidR="00AB0C6F" w:rsidP="00AB0C6F" w14:paraId="0FDD585C" w14:textId="2876DBB0">
      <w:pPr>
        <w:pStyle w:val="FootnoteText"/>
      </w:pPr>
      <w:r>
        <w:rPr>
          <w:rStyle w:val="FootnoteReference"/>
        </w:rPr>
        <w:footnoteRef/>
      </w:r>
      <w:r>
        <w:t xml:space="preserve"> 47 CFR § 1.80. </w:t>
      </w:r>
    </w:p>
  </w:footnote>
  <w:footnote w:id="18">
    <w:p w:rsidR="00AB0C6F" w:rsidP="00AB0C6F" w14:paraId="39938575" w14:textId="5CEFDE9B">
      <w:pPr>
        <w:pStyle w:val="FootnoteText"/>
      </w:pPr>
      <w:r>
        <w:rPr>
          <w:rStyle w:val="FootnoteReference"/>
        </w:rPr>
        <w:footnoteRef/>
      </w:r>
      <w:r>
        <w:t xml:space="preserve"> </w:t>
      </w:r>
      <w:r w:rsidR="00BF1525">
        <w:rPr>
          <w:i/>
        </w:rPr>
        <w:t>See</w:t>
      </w:r>
      <w:r>
        <w:rPr>
          <w:i/>
        </w:rPr>
        <w:t xml:space="preserve"> </w:t>
      </w:r>
      <w:r w:rsidR="004146E1">
        <w:rPr>
          <w:i/>
        </w:rPr>
        <w:t>Forfeiture Policy Statement and Amendment of Section 1.80(b) of the Rules to Incorporate the Forfeiture Guidelines</w:t>
      </w:r>
      <w:r w:rsidR="004146E1">
        <w:t xml:space="preserve">, Report and Order, 12 FCC </w:t>
      </w:r>
      <w:r w:rsidR="004146E1">
        <w:t>Rcd</w:t>
      </w:r>
      <w:r w:rsidR="004146E1">
        <w:t xml:space="preserve"> 17087, 17113-15 (1997) </w:t>
      </w:r>
      <w:r w:rsidR="004146E1">
        <w:rPr>
          <w:i/>
        </w:rPr>
        <w:t>(Forfeiture Policy Statement),</w:t>
      </w:r>
      <w:r w:rsidR="004146E1">
        <w:t xml:space="preserve"> </w:t>
      </w:r>
      <w:r w:rsidR="004146E1">
        <w:rPr>
          <w:i/>
        </w:rPr>
        <w:t>recon. denied</w:t>
      </w:r>
      <w:r w:rsidR="004146E1">
        <w:t xml:space="preserve">, 15 FCC </w:t>
      </w:r>
      <w:r w:rsidR="004146E1">
        <w:t>Rcd</w:t>
      </w:r>
      <w:r w:rsidR="004146E1">
        <w:t xml:space="preserve"> 303 (1999)</w:t>
      </w:r>
      <w:r w:rsidR="00BF1525">
        <w:t>.</w:t>
      </w:r>
    </w:p>
  </w:footnote>
  <w:footnote w:id="19">
    <w:p w:rsidR="00AB0C6F" w:rsidP="00AB0C6F" w14:paraId="6B73B0A5" w14:textId="4A3816D1">
      <w:pPr>
        <w:pStyle w:val="FootnoteText"/>
      </w:pPr>
      <w:r>
        <w:rPr>
          <w:rStyle w:val="FootnoteReference"/>
        </w:rPr>
        <w:footnoteRef/>
      </w:r>
      <w:r>
        <w:t xml:space="preserve"> 47 U.S.C. § 503(b)(2)(E).</w:t>
      </w:r>
      <w:r w:rsidR="00DA1C45">
        <w:t xml:space="preserve">  </w:t>
      </w:r>
      <w:r w:rsidRPr="00B966BB" w:rsidR="00DA1C45">
        <w:rPr>
          <w:i/>
          <w:iCs/>
        </w:rPr>
        <w:t>See also</w:t>
      </w:r>
      <w:r w:rsidRPr="00B966BB" w:rsidR="00DA1C45">
        <w:t xml:space="preserve"> </w:t>
      </w:r>
      <w:r w:rsidRPr="00B966BB" w:rsidR="00DA1C45">
        <w:rPr>
          <w:i/>
          <w:iCs/>
        </w:rPr>
        <w:t>Forfeiture Policy Statement</w:t>
      </w:r>
      <w:r w:rsidRPr="00B966BB" w:rsidR="00DA1C45">
        <w:t xml:space="preserve">, 12 FCC </w:t>
      </w:r>
      <w:r w:rsidRPr="00B966BB" w:rsidR="00DA1C45">
        <w:t>Rcd</w:t>
      </w:r>
      <w:r w:rsidRPr="00B966BB" w:rsidR="00DA1C45">
        <w:t xml:space="preserve"> at 17100–01; 47 CFR § 1.80(b)(1</w:t>
      </w:r>
      <w:r w:rsidR="00DA1C45">
        <w:t>1</w:t>
      </w:r>
      <w:r w:rsidRPr="00B966BB" w:rsidR="00DA1C45">
        <w:t>); 47 CFR § 1.80(b), paragraph (b)(1</w:t>
      </w:r>
      <w:r w:rsidR="00DA1C45">
        <w:t>1</w:t>
      </w:r>
      <w:r w:rsidRPr="00B966BB" w:rsidR="00DA1C45">
        <w:t>), Table 3.</w:t>
      </w:r>
    </w:p>
  </w:footnote>
  <w:footnote w:id="20">
    <w:p w:rsidR="00C94EB1" w14:paraId="118CF88F" w14:textId="5AC6F6D6">
      <w:pPr>
        <w:pStyle w:val="FootnoteText"/>
      </w:pPr>
      <w:r>
        <w:rPr>
          <w:rStyle w:val="FootnoteReference"/>
        </w:rPr>
        <w:footnoteRef/>
      </w:r>
      <w:r>
        <w:t xml:space="preserve"> </w:t>
      </w:r>
      <w:r w:rsidRPr="00000FAE">
        <w:t>47 CFR § 73.3598(a)</w:t>
      </w:r>
      <w:r>
        <w:t>.</w:t>
      </w:r>
    </w:p>
  </w:footnote>
  <w:footnote w:id="21">
    <w:p w:rsidR="00000FAE" w14:paraId="1F9DFC8E" w14:textId="5FA29AEB">
      <w:pPr>
        <w:pStyle w:val="FootnoteText"/>
      </w:pPr>
      <w:r>
        <w:rPr>
          <w:rStyle w:val="FootnoteReference"/>
        </w:rPr>
        <w:footnoteRef/>
      </w:r>
      <w:r>
        <w:t xml:space="preserve"> </w:t>
      </w:r>
      <w:r w:rsidRPr="00000FAE">
        <w:t>47 CFR § 73.1745; and 47 U.S.C. § 301.</w:t>
      </w:r>
    </w:p>
  </w:footnote>
  <w:footnote w:id="22">
    <w:p w:rsidR="00CB556B" w14:paraId="5DB2606E" w14:textId="5CB3E1A2">
      <w:pPr>
        <w:pStyle w:val="FootnoteText"/>
      </w:pPr>
      <w:r>
        <w:rPr>
          <w:rStyle w:val="FootnoteReference"/>
        </w:rPr>
        <w:footnoteRef/>
      </w:r>
      <w:r>
        <w:t xml:space="preserve"> </w:t>
      </w:r>
      <w:r w:rsidRPr="002E2D58" w:rsidR="002E2D58">
        <w:rPr>
          <w:i/>
          <w:iCs/>
        </w:rPr>
        <w:t xml:space="preserve">See </w:t>
      </w:r>
      <w:r w:rsidRPr="002E2D58" w:rsidR="002E2D58">
        <w:t>LMS File No. 00002</w:t>
      </w:r>
      <w:r w:rsidR="00FF3DA2">
        <w:t>32484.</w:t>
      </w:r>
    </w:p>
  </w:footnote>
  <w:footnote w:id="23">
    <w:p w:rsidR="00CF6506" w14:paraId="0AD45CD7" w14:textId="13A217B4">
      <w:pPr>
        <w:pStyle w:val="FootnoteText"/>
      </w:pPr>
      <w:r>
        <w:rPr>
          <w:rStyle w:val="FootnoteReference"/>
        </w:rPr>
        <w:footnoteRef/>
      </w:r>
      <w:r>
        <w:t xml:space="preserve"> 47 U.S.C. § 503(b).</w:t>
      </w:r>
    </w:p>
  </w:footnote>
  <w:footnote w:id="24">
    <w:p w:rsidR="00920489" w:rsidP="00920489" w14:paraId="167F8729" w14:textId="4C741607">
      <w:pPr>
        <w:pStyle w:val="FootnoteText"/>
      </w:pPr>
      <w:r>
        <w:rPr>
          <w:rStyle w:val="FootnoteReference"/>
        </w:rPr>
        <w:footnoteRef/>
      </w:r>
      <w:r>
        <w:t xml:space="preserve"> </w:t>
      </w:r>
      <w:r w:rsidRPr="00CF6506" w:rsidR="00CF6506">
        <w:t>47 CFR §§ 0.61, 0.204, 0.283, and 1.80</w:t>
      </w:r>
      <w:r w:rsidR="00CF6506">
        <w:t>.</w:t>
      </w:r>
    </w:p>
  </w:footnote>
  <w:footnote w:id="25">
    <w:p w:rsidR="00CB556B" w:rsidRPr="0095363A" w:rsidP="00CB556B" w14:paraId="533A12BE" w14:textId="77777777">
      <w:pPr>
        <w:shd w:val="clear" w:color="auto" w:fill="FFFFFF"/>
        <w:tabs>
          <w:tab w:val="left" w:pos="125"/>
        </w:tabs>
        <w:spacing w:after="120"/>
        <w:ind w:left="14"/>
        <w:rPr>
          <w:sz w:val="20"/>
        </w:rPr>
      </w:pPr>
      <w:r w:rsidRPr="0095363A">
        <w:rPr>
          <w:rStyle w:val="FootnoteReference"/>
        </w:rPr>
        <w:footnoteRef/>
      </w:r>
      <w:r w:rsidRPr="0095363A">
        <w:rPr>
          <w:sz w:val="20"/>
        </w:rPr>
        <w:t xml:space="preserve"> 47 CFR § 73.3598(a).</w:t>
      </w:r>
    </w:p>
  </w:footnote>
  <w:footnote w:id="26">
    <w:p w:rsidR="00CB556B" w:rsidRPr="0095363A" w:rsidP="00CB556B" w14:paraId="75EDD2F8" w14:textId="77777777">
      <w:pPr>
        <w:pStyle w:val="FootnoteText"/>
      </w:pPr>
      <w:r w:rsidRPr="0095363A">
        <w:rPr>
          <w:rStyle w:val="FootnoteReference"/>
        </w:rPr>
        <w:footnoteRef/>
      </w:r>
      <w:r w:rsidRPr="0095363A">
        <w:t xml:space="preserve"> 47 CFR § 73.1745(a).</w:t>
      </w:r>
    </w:p>
  </w:footnote>
  <w:footnote w:id="27">
    <w:p w:rsidR="00CB556B" w:rsidRPr="0095363A" w:rsidP="00CB556B" w14:paraId="3FC36D07" w14:textId="77777777">
      <w:pPr>
        <w:shd w:val="clear" w:color="auto" w:fill="FFFFFF"/>
        <w:tabs>
          <w:tab w:val="left" w:pos="125"/>
        </w:tabs>
        <w:spacing w:after="120"/>
        <w:ind w:left="14"/>
        <w:rPr>
          <w:sz w:val="20"/>
        </w:rPr>
      </w:pPr>
      <w:r w:rsidRPr="0095363A">
        <w:rPr>
          <w:rStyle w:val="FootnoteReference"/>
        </w:rPr>
        <w:footnoteRef/>
      </w:r>
      <w:r w:rsidRPr="0095363A">
        <w:rPr>
          <w:sz w:val="20"/>
        </w:rPr>
        <w:t xml:space="preserve"> </w:t>
      </w:r>
      <w:r w:rsidRPr="0095363A">
        <w:rPr>
          <w:i/>
          <w:sz w:val="20"/>
        </w:rPr>
        <w:t>See</w:t>
      </w:r>
      <w:r w:rsidRPr="0095363A">
        <w:rPr>
          <w:sz w:val="20"/>
        </w:rPr>
        <w:t xml:space="preserve"> 47 U.S.C. § 301.</w:t>
      </w:r>
    </w:p>
  </w:footnote>
  <w:footnote w:id="28">
    <w:p w:rsidR="00E55AB3" w:rsidP="00E55AB3" w14:paraId="263BDFAB" w14:textId="4E8D7216">
      <w:pPr>
        <w:pStyle w:val="FootnoteText"/>
      </w:pPr>
      <w:r>
        <w:rPr>
          <w:rStyle w:val="FootnoteReference"/>
        </w:rPr>
        <w:footnoteRef/>
      </w:r>
      <w:r w:rsidR="00917C25">
        <w:t xml:space="preserve"> 47 CFR § 1.80(g)(4)</w:t>
      </w:r>
      <w:r>
        <w:t>.</w:t>
      </w:r>
    </w:p>
  </w:footnote>
  <w:footnote w:id="29">
    <w:p w:rsidR="00E55AB3" w:rsidP="00E55AB3" w14:paraId="62006EDF" w14:textId="0F8D0954">
      <w:pPr>
        <w:pStyle w:val="FootnoteText"/>
      </w:pPr>
      <w:r>
        <w:rPr>
          <w:rStyle w:val="FootnoteReference"/>
        </w:rPr>
        <w:footnoteRef/>
      </w:r>
      <w:r>
        <w:t xml:space="preserve"> </w:t>
      </w:r>
      <w:r w:rsidRPr="000B2488">
        <w:t xml:space="preserve"> 47 U.S.C. § 504(a)</w:t>
      </w:r>
      <w:r>
        <w:t>.</w:t>
      </w:r>
      <w:r w:rsidR="00741DD1">
        <w:t xml:space="preserve">  See 47 CFR § 1.80(g)(5).</w:t>
      </w:r>
    </w:p>
  </w:footnote>
  <w:footnote w:id="30">
    <w:p w:rsidR="00FC463C" w:rsidRPr="00514C8E" w:rsidP="00FC463C" w14:paraId="5DFAEB7D" w14:textId="25F9608D">
      <w:pPr>
        <w:pStyle w:val="FootnoteText"/>
      </w:pPr>
      <w:r w:rsidRPr="00514C8E">
        <w:rPr>
          <w:rStyle w:val="FootnoteReference"/>
        </w:rPr>
        <w:footnoteRef/>
      </w:r>
      <w:r w:rsidRPr="00514C8E">
        <w:t xml:space="preserve"> </w:t>
      </w:r>
      <w:r w:rsidR="00917C25">
        <w:t>47 CFR § 1.80(</w:t>
      </w:r>
      <w:r w:rsidR="00917C25">
        <w:t>i</w:t>
      </w:r>
      <w:r w:rsidR="00917C25">
        <w:t xml:space="preserve">).  </w:t>
      </w:r>
      <w:r w:rsidRPr="00514C8E">
        <w:t xml:space="preserve">Payments made using </w:t>
      </w:r>
      <w:r>
        <w:t>CORES</w:t>
      </w:r>
      <w:r w:rsidRPr="00514C8E">
        <w:t xml:space="preserve"> do not require the submission of an FCC Form 159.</w:t>
      </w:r>
    </w:p>
  </w:footnote>
  <w:footnote w:id="31">
    <w:p w:rsidR="00FC463C" w:rsidRPr="00514C8E" w:rsidP="00FC463C" w14:paraId="7E291211"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2">
    <w:p w:rsidR="00CC4E35" w:rsidRPr="00514C8E" w:rsidP="00CC4E35" w14:paraId="39F32A8C"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3">
    <w:p w:rsidR="00BB5D4C" w14:paraId="4AA9C014" w14:textId="5D91A4EB">
      <w:pPr>
        <w:pStyle w:val="FootnoteText"/>
      </w:pPr>
      <w:r>
        <w:rPr>
          <w:rStyle w:val="FootnoteReference"/>
        </w:rPr>
        <w:footnoteRef/>
      </w:r>
      <w:r>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5B7" w14:paraId="00A25A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8E" w14:textId="4D211BFE">
    <w:pPr>
      <w:pStyle w:val="Header"/>
      <w:rPr>
        <w:b w:val="0"/>
      </w:rPr>
    </w:pPr>
    <w:r>
      <w:tab/>
      <w:t>Federal Communications Commission</w:t>
    </w:r>
    <w:r>
      <w:tab/>
    </w:r>
    <w:r w:rsidR="00420D78">
      <w:t xml:space="preserve">DA </w:t>
    </w:r>
    <w:r w:rsidR="002D062A">
      <w:t>2</w:t>
    </w:r>
    <w:r w:rsidR="006D6D1D">
      <w:t>4</w:t>
    </w:r>
    <w:r w:rsidR="00420D78">
      <w:t>-</w:t>
    </w:r>
    <w:r w:rsidR="000555B7">
      <w:t>378</w:t>
    </w:r>
  </w:p>
  <w:p w:rsidR="00A35A37" w14:paraId="3C8FD68F" w14:textId="6A233C3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35A37" w:rsidP="000555B7" w14:paraId="3C8FD690" w14:textId="0A3BAF86">
    <w:pPr>
      <w:tabs>
        <w:tab w:val="left" w:pos="3167"/>
      </w:tabs>
      <w:spacing w:after="389" w:line="100" w:lineRule="exact"/>
      <w:rPr>
        <w:sz w:val="10"/>
      </w:rPr>
    </w:pPr>
    <w:r>
      <w:rPr>
        <w:sz w:val="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95" w14:textId="4F25633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264785">
      <w:tab/>
      <w:t>Federal Communications Commission</w:t>
    </w:r>
    <w:r w:rsidR="00264785">
      <w:tab/>
    </w:r>
    <w:r w:rsidR="00E609ED">
      <w:rPr>
        <w:spacing w:val="-2"/>
      </w:rPr>
      <w:t xml:space="preserve">DA </w:t>
    </w:r>
    <w:r w:rsidR="00264785">
      <w:rPr>
        <w:spacing w:val="-2"/>
      </w:rPr>
      <w:t>2</w:t>
    </w:r>
    <w:r w:rsidR="006D6D1D">
      <w:rPr>
        <w:spacing w:val="-2"/>
      </w:rPr>
      <w:t>4</w:t>
    </w:r>
    <w:r w:rsidR="00264785">
      <w:rPr>
        <w:spacing w:val="-2"/>
      </w:rPr>
      <w:t>-</w:t>
    </w:r>
    <w:r w:rsidR="000555B7">
      <w:rPr>
        <w:spacing w:val="-2"/>
      </w:rPr>
      <w:t>378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5077DA"/>
    <w:multiLevelType w:val="hybridMultilevel"/>
    <w:tmpl w:val="8AA42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881ECC"/>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AE2CC9"/>
    <w:multiLevelType w:val="hybridMultilevel"/>
    <w:tmpl w:val="9FB2ED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multilevel"/>
    <w:tmpl w:val="A262FDF4"/>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6"/>
  </w:num>
  <w:num w:numId="4">
    <w:abstractNumId w:val="9"/>
  </w:num>
  <w:num w:numId="5">
    <w:abstractNumId w:val="3"/>
  </w:num>
  <w:num w:numId="6">
    <w:abstractNumId w:val="0"/>
  </w:num>
  <w:num w:numId="7">
    <w:abstractNumId w:val="10"/>
    <w:lvlOverride w:ilvl="0">
      <w:startOverride w:val="1"/>
    </w:lvlOverride>
  </w:num>
  <w:num w:numId="8">
    <w:abstractNumId w:val="10"/>
    <w:lvlOverride w:ilvl="0">
      <w:startOverride w:val="1"/>
    </w:lvlOverride>
  </w:num>
  <w:num w:numId="9">
    <w:abstractNumId w:val="8"/>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5"/>
  </w:num>
  <w:num w:numId="22">
    <w:abstractNumId w:val="10"/>
  </w:num>
  <w:num w:numId="23">
    <w:abstractNumId w:val="10"/>
  </w:num>
  <w:num w:numId="24">
    <w:abstractNumId w:val="7"/>
  </w:num>
  <w:num w:numId="25">
    <w:abstractNumId w:val="1"/>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0FAE"/>
    <w:rsid w:val="000217CF"/>
    <w:rsid w:val="00035EC6"/>
    <w:rsid w:val="00036039"/>
    <w:rsid w:val="00036411"/>
    <w:rsid w:val="00037F90"/>
    <w:rsid w:val="00043678"/>
    <w:rsid w:val="00045ADC"/>
    <w:rsid w:val="00045E14"/>
    <w:rsid w:val="00053D65"/>
    <w:rsid w:val="00054D5A"/>
    <w:rsid w:val="000555B7"/>
    <w:rsid w:val="00063EEE"/>
    <w:rsid w:val="000654EE"/>
    <w:rsid w:val="00071B60"/>
    <w:rsid w:val="000725CB"/>
    <w:rsid w:val="000820BC"/>
    <w:rsid w:val="000875BF"/>
    <w:rsid w:val="000901F8"/>
    <w:rsid w:val="0009666D"/>
    <w:rsid w:val="00096D8C"/>
    <w:rsid w:val="000A3596"/>
    <w:rsid w:val="000A4DEF"/>
    <w:rsid w:val="000B2488"/>
    <w:rsid w:val="000B6193"/>
    <w:rsid w:val="000C0B65"/>
    <w:rsid w:val="000C50F6"/>
    <w:rsid w:val="000C7413"/>
    <w:rsid w:val="000D1113"/>
    <w:rsid w:val="000D1354"/>
    <w:rsid w:val="000D4656"/>
    <w:rsid w:val="000D54FB"/>
    <w:rsid w:val="000E05FE"/>
    <w:rsid w:val="000E1603"/>
    <w:rsid w:val="000E3D42"/>
    <w:rsid w:val="000F0BCB"/>
    <w:rsid w:val="001048C9"/>
    <w:rsid w:val="001058BC"/>
    <w:rsid w:val="001172AD"/>
    <w:rsid w:val="001213BF"/>
    <w:rsid w:val="00122BD5"/>
    <w:rsid w:val="0012588F"/>
    <w:rsid w:val="00126708"/>
    <w:rsid w:val="00126C67"/>
    <w:rsid w:val="001304DB"/>
    <w:rsid w:val="00133F79"/>
    <w:rsid w:val="0013711B"/>
    <w:rsid w:val="00162375"/>
    <w:rsid w:val="001678BF"/>
    <w:rsid w:val="001717AC"/>
    <w:rsid w:val="0017296B"/>
    <w:rsid w:val="00176F14"/>
    <w:rsid w:val="00183402"/>
    <w:rsid w:val="00194A66"/>
    <w:rsid w:val="00196E45"/>
    <w:rsid w:val="001D4BEC"/>
    <w:rsid w:val="001D5806"/>
    <w:rsid w:val="001D5EBF"/>
    <w:rsid w:val="001D6BCF"/>
    <w:rsid w:val="001E01CA"/>
    <w:rsid w:val="001E26B1"/>
    <w:rsid w:val="001E369A"/>
    <w:rsid w:val="001E624F"/>
    <w:rsid w:val="001E6B52"/>
    <w:rsid w:val="001F0FAB"/>
    <w:rsid w:val="002007ED"/>
    <w:rsid w:val="002061F7"/>
    <w:rsid w:val="00212D07"/>
    <w:rsid w:val="00231F60"/>
    <w:rsid w:val="002340A4"/>
    <w:rsid w:val="00237984"/>
    <w:rsid w:val="00241692"/>
    <w:rsid w:val="0025224F"/>
    <w:rsid w:val="00252C1A"/>
    <w:rsid w:val="002546D1"/>
    <w:rsid w:val="00264785"/>
    <w:rsid w:val="00272DD9"/>
    <w:rsid w:val="00275CF5"/>
    <w:rsid w:val="00276A0A"/>
    <w:rsid w:val="00282131"/>
    <w:rsid w:val="0028301F"/>
    <w:rsid w:val="00285017"/>
    <w:rsid w:val="00285AC6"/>
    <w:rsid w:val="002910B7"/>
    <w:rsid w:val="002A1B0D"/>
    <w:rsid w:val="002A2D2E"/>
    <w:rsid w:val="002C00E8"/>
    <w:rsid w:val="002D062A"/>
    <w:rsid w:val="002E2D58"/>
    <w:rsid w:val="002E3827"/>
    <w:rsid w:val="002E733C"/>
    <w:rsid w:val="003066D8"/>
    <w:rsid w:val="003121A2"/>
    <w:rsid w:val="0032346C"/>
    <w:rsid w:val="00335A80"/>
    <w:rsid w:val="003374BB"/>
    <w:rsid w:val="00343749"/>
    <w:rsid w:val="00357DA4"/>
    <w:rsid w:val="003660ED"/>
    <w:rsid w:val="00382CE9"/>
    <w:rsid w:val="00395813"/>
    <w:rsid w:val="003B0550"/>
    <w:rsid w:val="003B25BD"/>
    <w:rsid w:val="003B4A47"/>
    <w:rsid w:val="003B694F"/>
    <w:rsid w:val="003C4CE2"/>
    <w:rsid w:val="003C5B79"/>
    <w:rsid w:val="003D16D8"/>
    <w:rsid w:val="003E64F8"/>
    <w:rsid w:val="003F1059"/>
    <w:rsid w:val="003F171C"/>
    <w:rsid w:val="003F30E0"/>
    <w:rsid w:val="00410459"/>
    <w:rsid w:val="00412FC5"/>
    <w:rsid w:val="004146E1"/>
    <w:rsid w:val="00415116"/>
    <w:rsid w:val="00416163"/>
    <w:rsid w:val="00420D78"/>
    <w:rsid w:val="0042225E"/>
    <w:rsid w:val="00422276"/>
    <w:rsid w:val="004232E5"/>
    <w:rsid w:val="004242F1"/>
    <w:rsid w:val="004303B8"/>
    <w:rsid w:val="00430C57"/>
    <w:rsid w:val="00445A00"/>
    <w:rsid w:val="0045059F"/>
    <w:rsid w:val="00451B0F"/>
    <w:rsid w:val="00453DE0"/>
    <w:rsid w:val="00455CE5"/>
    <w:rsid w:val="00462660"/>
    <w:rsid w:val="00474268"/>
    <w:rsid w:val="00483113"/>
    <w:rsid w:val="00487B18"/>
    <w:rsid w:val="004C2EE3"/>
    <w:rsid w:val="004D0B01"/>
    <w:rsid w:val="004E2BCF"/>
    <w:rsid w:val="004E4A22"/>
    <w:rsid w:val="004F329A"/>
    <w:rsid w:val="005034CF"/>
    <w:rsid w:val="00506331"/>
    <w:rsid w:val="00506A53"/>
    <w:rsid w:val="00511968"/>
    <w:rsid w:val="00514C8E"/>
    <w:rsid w:val="0052085F"/>
    <w:rsid w:val="00535AA0"/>
    <w:rsid w:val="0053688B"/>
    <w:rsid w:val="00550124"/>
    <w:rsid w:val="00555C06"/>
    <w:rsid w:val="00555D44"/>
    <w:rsid w:val="0055614C"/>
    <w:rsid w:val="005626C9"/>
    <w:rsid w:val="005627AA"/>
    <w:rsid w:val="005632BC"/>
    <w:rsid w:val="00566D06"/>
    <w:rsid w:val="00566F7E"/>
    <w:rsid w:val="0057317B"/>
    <w:rsid w:val="005A26E4"/>
    <w:rsid w:val="005A3217"/>
    <w:rsid w:val="005E0432"/>
    <w:rsid w:val="005E14C2"/>
    <w:rsid w:val="005E1C7E"/>
    <w:rsid w:val="005E6C01"/>
    <w:rsid w:val="005F4ABB"/>
    <w:rsid w:val="00607BA5"/>
    <w:rsid w:val="00607DF7"/>
    <w:rsid w:val="0061180A"/>
    <w:rsid w:val="00611C6A"/>
    <w:rsid w:val="00623E30"/>
    <w:rsid w:val="00626EB6"/>
    <w:rsid w:val="006347F7"/>
    <w:rsid w:val="00635DDC"/>
    <w:rsid w:val="00647EF0"/>
    <w:rsid w:val="00655D03"/>
    <w:rsid w:val="006617ED"/>
    <w:rsid w:val="00683388"/>
    <w:rsid w:val="00683563"/>
    <w:rsid w:val="00683F84"/>
    <w:rsid w:val="00691A6F"/>
    <w:rsid w:val="0069400D"/>
    <w:rsid w:val="0069401C"/>
    <w:rsid w:val="006A431C"/>
    <w:rsid w:val="006A6A81"/>
    <w:rsid w:val="006B3281"/>
    <w:rsid w:val="006B6469"/>
    <w:rsid w:val="006C2B8E"/>
    <w:rsid w:val="006D6D1D"/>
    <w:rsid w:val="006E14F1"/>
    <w:rsid w:val="006E2BE3"/>
    <w:rsid w:val="006F5704"/>
    <w:rsid w:val="006F7393"/>
    <w:rsid w:val="007000AB"/>
    <w:rsid w:val="00700C1E"/>
    <w:rsid w:val="0070224F"/>
    <w:rsid w:val="007115F7"/>
    <w:rsid w:val="007120D5"/>
    <w:rsid w:val="00714E25"/>
    <w:rsid w:val="007173FF"/>
    <w:rsid w:val="0072020B"/>
    <w:rsid w:val="00721969"/>
    <w:rsid w:val="0072332E"/>
    <w:rsid w:val="00723432"/>
    <w:rsid w:val="007240F4"/>
    <w:rsid w:val="00730898"/>
    <w:rsid w:val="007401B4"/>
    <w:rsid w:val="00740764"/>
    <w:rsid w:val="00741DD1"/>
    <w:rsid w:val="00751713"/>
    <w:rsid w:val="00753680"/>
    <w:rsid w:val="00762D04"/>
    <w:rsid w:val="00780BEF"/>
    <w:rsid w:val="007817A9"/>
    <w:rsid w:val="00785689"/>
    <w:rsid w:val="007907DD"/>
    <w:rsid w:val="00794906"/>
    <w:rsid w:val="00796C43"/>
    <w:rsid w:val="0079754B"/>
    <w:rsid w:val="007A1E6D"/>
    <w:rsid w:val="007A3A02"/>
    <w:rsid w:val="007A52B4"/>
    <w:rsid w:val="007B0EB2"/>
    <w:rsid w:val="007B0F67"/>
    <w:rsid w:val="007B26A7"/>
    <w:rsid w:val="007B307A"/>
    <w:rsid w:val="007C1D08"/>
    <w:rsid w:val="007C21B5"/>
    <w:rsid w:val="007C615C"/>
    <w:rsid w:val="007C7079"/>
    <w:rsid w:val="007D14F1"/>
    <w:rsid w:val="007D1A59"/>
    <w:rsid w:val="007E5C8E"/>
    <w:rsid w:val="007F1E21"/>
    <w:rsid w:val="007F3488"/>
    <w:rsid w:val="00800212"/>
    <w:rsid w:val="00810B6F"/>
    <w:rsid w:val="00822A61"/>
    <w:rsid w:val="00822CE0"/>
    <w:rsid w:val="0082727C"/>
    <w:rsid w:val="008369D8"/>
    <w:rsid w:val="00841AB1"/>
    <w:rsid w:val="00847642"/>
    <w:rsid w:val="0085336E"/>
    <w:rsid w:val="008569C1"/>
    <w:rsid w:val="00872C28"/>
    <w:rsid w:val="0089279E"/>
    <w:rsid w:val="008959F6"/>
    <w:rsid w:val="00896067"/>
    <w:rsid w:val="00897E68"/>
    <w:rsid w:val="00897F62"/>
    <w:rsid w:val="008A1320"/>
    <w:rsid w:val="008A4E03"/>
    <w:rsid w:val="008A7897"/>
    <w:rsid w:val="008A7B15"/>
    <w:rsid w:val="008B1EEC"/>
    <w:rsid w:val="008B4C15"/>
    <w:rsid w:val="008B7BD6"/>
    <w:rsid w:val="008C2BCD"/>
    <w:rsid w:val="008C67E4"/>
    <w:rsid w:val="008C68F1"/>
    <w:rsid w:val="008D2163"/>
    <w:rsid w:val="008D7833"/>
    <w:rsid w:val="008E13B0"/>
    <w:rsid w:val="008E69DD"/>
    <w:rsid w:val="008F3ACB"/>
    <w:rsid w:val="008F6E01"/>
    <w:rsid w:val="008F7DBB"/>
    <w:rsid w:val="00904263"/>
    <w:rsid w:val="00904E58"/>
    <w:rsid w:val="00907B92"/>
    <w:rsid w:val="009131B2"/>
    <w:rsid w:val="00917C25"/>
    <w:rsid w:val="00920489"/>
    <w:rsid w:val="00921803"/>
    <w:rsid w:val="00926503"/>
    <w:rsid w:val="00935865"/>
    <w:rsid w:val="0094066C"/>
    <w:rsid w:val="00953297"/>
    <w:rsid w:val="0095363A"/>
    <w:rsid w:val="009556B5"/>
    <w:rsid w:val="009563AA"/>
    <w:rsid w:val="009647C5"/>
    <w:rsid w:val="009724F1"/>
    <w:rsid w:val="009726D8"/>
    <w:rsid w:val="00975D6A"/>
    <w:rsid w:val="00981685"/>
    <w:rsid w:val="0098544D"/>
    <w:rsid w:val="009918B1"/>
    <w:rsid w:val="009A22EB"/>
    <w:rsid w:val="009A4A76"/>
    <w:rsid w:val="009B790E"/>
    <w:rsid w:val="009C4870"/>
    <w:rsid w:val="009D011E"/>
    <w:rsid w:val="009D02C8"/>
    <w:rsid w:val="009D17F8"/>
    <w:rsid w:val="009D7308"/>
    <w:rsid w:val="009E1AAE"/>
    <w:rsid w:val="009E1D06"/>
    <w:rsid w:val="009F6D26"/>
    <w:rsid w:val="009F76DB"/>
    <w:rsid w:val="00A02420"/>
    <w:rsid w:val="00A30F82"/>
    <w:rsid w:val="00A32C3B"/>
    <w:rsid w:val="00A35A37"/>
    <w:rsid w:val="00A41574"/>
    <w:rsid w:val="00A4217E"/>
    <w:rsid w:val="00A45F4F"/>
    <w:rsid w:val="00A5143F"/>
    <w:rsid w:val="00A54B35"/>
    <w:rsid w:val="00A600A9"/>
    <w:rsid w:val="00A77AB0"/>
    <w:rsid w:val="00A8173D"/>
    <w:rsid w:val="00A82BD2"/>
    <w:rsid w:val="00A8735B"/>
    <w:rsid w:val="00A87645"/>
    <w:rsid w:val="00A94C43"/>
    <w:rsid w:val="00AA2FE8"/>
    <w:rsid w:val="00AA55B7"/>
    <w:rsid w:val="00AA5B9E"/>
    <w:rsid w:val="00AA7159"/>
    <w:rsid w:val="00AA7440"/>
    <w:rsid w:val="00AB0C6F"/>
    <w:rsid w:val="00AB2407"/>
    <w:rsid w:val="00AB53DF"/>
    <w:rsid w:val="00AC1D92"/>
    <w:rsid w:val="00AC51C7"/>
    <w:rsid w:val="00AD1F3A"/>
    <w:rsid w:val="00AD5028"/>
    <w:rsid w:val="00B02842"/>
    <w:rsid w:val="00B048A6"/>
    <w:rsid w:val="00B06453"/>
    <w:rsid w:val="00B07E5C"/>
    <w:rsid w:val="00B16540"/>
    <w:rsid w:val="00B24633"/>
    <w:rsid w:val="00B26A91"/>
    <w:rsid w:val="00B33D26"/>
    <w:rsid w:val="00B35ACD"/>
    <w:rsid w:val="00B47910"/>
    <w:rsid w:val="00B62ED1"/>
    <w:rsid w:val="00B748A0"/>
    <w:rsid w:val="00B749BC"/>
    <w:rsid w:val="00B811F7"/>
    <w:rsid w:val="00B815CB"/>
    <w:rsid w:val="00B910CE"/>
    <w:rsid w:val="00B9477C"/>
    <w:rsid w:val="00B966BB"/>
    <w:rsid w:val="00BA5DC6"/>
    <w:rsid w:val="00BA6196"/>
    <w:rsid w:val="00BB3F17"/>
    <w:rsid w:val="00BB5D4C"/>
    <w:rsid w:val="00BC6D8C"/>
    <w:rsid w:val="00BC79DB"/>
    <w:rsid w:val="00BE2843"/>
    <w:rsid w:val="00BE60E9"/>
    <w:rsid w:val="00BF125A"/>
    <w:rsid w:val="00BF1525"/>
    <w:rsid w:val="00C11997"/>
    <w:rsid w:val="00C122A3"/>
    <w:rsid w:val="00C34006"/>
    <w:rsid w:val="00C36B4C"/>
    <w:rsid w:val="00C36FF4"/>
    <w:rsid w:val="00C426B1"/>
    <w:rsid w:val="00C42C83"/>
    <w:rsid w:val="00C553E9"/>
    <w:rsid w:val="00C61D17"/>
    <w:rsid w:val="00C63228"/>
    <w:rsid w:val="00C65DC1"/>
    <w:rsid w:val="00C66160"/>
    <w:rsid w:val="00C721AC"/>
    <w:rsid w:val="00C733D7"/>
    <w:rsid w:val="00C76547"/>
    <w:rsid w:val="00C76FA1"/>
    <w:rsid w:val="00C90D6A"/>
    <w:rsid w:val="00C9230A"/>
    <w:rsid w:val="00C94EB1"/>
    <w:rsid w:val="00CA247E"/>
    <w:rsid w:val="00CA2DEB"/>
    <w:rsid w:val="00CA6D21"/>
    <w:rsid w:val="00CB2BFE"/>
    <w:rsid w:val="00CB2C01"/>
    <w:rsid w:val="00CB304F"/>
    <w:rsid w:val="00CB34AF"/>
    <w:rsid w:val="00CB556B"/>
    <w:rsid w:val="00CB6F67"/>
    <w:rsid w:val="00CC03DE"/>
    <w:rsid w:val="00CC4E35"/>
    <w:rsid w:val="00CC72B6"/>
    <w:rsid w:val="00CD6085"/>
    <w:rsid w:val="00CE5DE1"/>
    <w:rsid w:val="00CF0BDA"/>
    <w:rsid w:val="00CF6506"/>
    <w:rsid w:val="00CF7A6B"/>
    <w:rsid w:val="00D0218D"/>
    <w:rsid w:val="00D10256"/>
    <w:rsid w:val="00D15EF1"/>
    <w:rsid w:val="00D17789"/>
    <w:rsid w:val="00D25FB5"/>
    <w:rsid w:val="00D32409"/>
    <w:rsid w:val="00D33C3D"/>
    <w:rsid w:val="00D37815"/>
    <w:rsid w:val="00D426DF"/>
    <w:rsid w:val="00D4296A"/>
    <w:rsid w:val="00D44223"/>
    <w:rsid w:val="00D60218"/>
    <w:rsid w:val="00D61EA0"/>
    <w:rsid w:val="00D65EE5"/>
    <w:rsid w:val="00D677BC"/>
    <w:rsid w:val="00D7153B"/>
    <w:rsid w:val="00D7256D"/>
    <w:rsid w:val="00D7716E"/>
    <w:rsid w:val="00D82EEE"/>
    <w:rsid w:val="00D90B91"/>
    <w:rsid w:val="00D9501C"/>
    <w:rsid w:val="00DA1C45"/>
    <w:rsid w:val="00DA2529"/>
    <w:rsid w:val="00DB130A"/>
    <w:rsid w:val="00DB2EBB"/>
    <w:rsid w:val="00DC10A1"/>
    <w:rsid w:val="00DC3C7D"/>
    <w:rsid w:val="00DC4AB6"/>
    <w:rsid w:val="00DC4C48"/>
    <w:rsid w:val="00DC655F"/>
    <w:rsid w:val="00DD0B59"/>
    <w:rsid w:val="00DD7EBD"/>
    <w:rsid w:val="00DE156A"/>
    <w:rsid w:val="00DF11EA"/>
    <w:rsid w:val="00DF62B6"/>
    <w:rsid w:val="00DF7F44"/>
    <w:rsid w:val="00E023CC"/>
    <w:rsid w:val="00E05E23"/>
    <w:rsid w:val="00E07225"/>
    <w:rsid w:val="00E07574"/>
    <w:rsid w:val="00E07965"/>
    <w:rsid w:val="00E1189A"/>
    <w:rsid w:val="00E132B8"/>
    <w:rsid w:val="00E17F04"/>
    <w:rsid w:val="00E40B0F"/>
    <w:rsid w:val="00E442F4"/>
    <w:rsid w:val="00E47253"/>
    <w:rsid w:val="00E519CD"/>
    <w:rsid w:val="00E5409F"/>
    <w:rsid w:val="00E55AB3"/>
    <w:rsid w:val="00E56A44"/>
    <w:rsid w:val="00E609ED"/>
    <w:rsid w:val="00E60C96"/>
    <w:rsid w:val="00E809FD"/>
    <w:rsid w:val="00E829EB"/>
    <w:rsid w:val="00E84127"/>
    <w:rsid w:val="00E862BC"/>
    <w:rsid w:val="00E875D4"/>
    <w:rsid w:val="00E93516"/>
    <w:rsid w:val="00EB258A"/>
    <w:rsid w:val="00EC2D9D"/>
    <w:rsid w:val="00ED25F4"/>
    <w:rsid w:val="00ED2DBD"/>
    <w:rsid w:val="00ED78F9"/>
    <w:rsid w:val="00EE1335"/>
    <w:rsid w:val="00EE46E6"/>
    <w:rsid w:val="00EE6488"/>
    <w:rsid w:val="00EF143D"/>
    <w:rsid w:val="00F012B8"/>
    <w:rsid w:val="00F021FA"/>
    <w:rsid w:val="00F137CF"/>
    <w:rsid w:val="00F15337"/>
    <w:rsid w:val="00F15CAF"/>
    <w:rsid w:val="00F17133"/>
    <w:rsid w:val="00F2211B"/>
    <w:rsid w:val="00F41D41"/>
    <w:rsid w:val="00F46FBC"/>
    <w:rsid w:val="00F532FD"/>
    <w:rsid w:val="00F62E97"/>
    <w:rsid w:val="00F64209"/>
    <w:rsid w:val="00F65413"/>
    <w:rsid w:val="00F72499"/>
    <w:rsid w:val="00F7571E"/>
    <w:rsid w:val="00F93BF5"/>
    <w:rsid w:val="00F9447E"/>
    <w:rsid w:val="00F959AD"/>
    <w:rsid w:val="00F976F4"/>
    <w:rsid w:val="00FA1409"/>
    <w:rsid w:val="00FA7F32"/>
    <w:rsid w:val="00FB1D0D"/>
    <w:rsid w:val="00FB4671"/>
    <w:rsid w:val="00FC3772"/>
    <w:rsid w:val="00FC3DBA"/>
    <w:rsid w:val="00FC463C"/>
    <w:rsid w:val="00FC4AB3"/>
    <w:rsid w:val="00FD3076"/>
    <w:rsid w:val="00FF3DA2"/>
    <w:rsid w:val="00FF6DF8"/>
    <w:rsid w:val="00FF7C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8FD656"/>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45"/>
    <w:pPr>
      <w:widowControl w:val="0"/>
    </w:pPr>
    <w:rPr>
      <w:snapToGrid w:val="0"/>
      <w:kern w:val="28"/>
      <w:sz w:val="22"/>
    </w:rPr>
  </w:style>
  <w:style w:type="paragraph" w:styleId="Heading1">
    <w:name w:val="heading 1"/>
    <w:basedOn w:val="Normal"/>
    <w:next w:val="ParaNum"/>
    <w:qFormat/>
    <w:rsid w:val="00DA1C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1C45"/>
    <w:pPr>
      <w:keepNext/>
      <w:numPr>
        <w:ilvl w:val="1"/>
        <w:numId w:val="3"/>
      </w:numPr>
      <w:spacing w:after="120"/>
      <w:outlineLvl w:val="1"/>
    </w:pPr>
    <w:rPr>
      <w:b/>
    </w:rPr>
  </w:style>
  <w:style w:type="paragraph" w:styleId="Heading3">
    <w:name w:val="heading 3"/>
    <w:basedOn w:val="Normal"/>
    <w:next w:val="ParaNum"/>
    <w:qFormat/>
    <w:rsid w:val="00DA1C45"/>
    <w:pPr>
      <w:keepNext/>
      <w:numPr>
        <w:ilvl w:val="2"/>
        <w:numId w:val="3"/>
      </w:numPr>
      <w:tabs>
        <w:tab w:val="left" w:pos="2160"/>
      </w:tabs>
      <w:spacing w:after="120"/>
      <w:outlineLvl w:val="2"/>
    </w:pPr>
    <w:rPr>
      <w:b/>
    </w:rPr>
  </w:style>
  <w:style w:type="paragraph" w:styleId="Heading4">
    <w:name w:val="heading 4"/>
    <w:basedOn w:val="Normal"/>
    <w:next w:val="ParaNum"/>
    <w:qFormat/>
    <w:rsid w:val="00DA1C45"/>
    <w:pPr>
      <w:keepNext/>
      <w:numPr>
        <w:ilvl w:val="3"/>
        <w:numId w:val="3"/>
      </w:numPr>
      <w:tabs>
        <w:tab w:val="left" w:pos="2880"/>
      </w:tabs>
      <w:spacing w:after="120"/>
      <w:outlineLvl w:val="3"/>
    </w:pPr>
    <w:rPr>
      <w:b/>
    </w:rPr>
  </w:style>
  <w:style w:type="paragraph" w:styleId="Heading5">
    <w:name w:val="heading 5"/>
    <w:basedOn w:val="Normal"/>
    <w:next w:val="ParaNum"/>
    <w:qFormat/>
    <w:rsid w:val="00DA1C4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1C45"/>
    <w:pPr>
      <w:numPr>
        <w:ilvl w:val="5"/>
        <w:numId w:val="3"/>
      </w:numPr>
      <w:tabs>
        <w:tab w:val="left" w:pos="4320"/>
      </w:tabs>
      <w:spacing w:after="120"/>
      <w:outlineLvl w:val="5"/>
    </w:pPr>
    <w:rPr>
      <w:b/>
    </w:rPr>
  </w:style>
  <w:style w:type="paragraph" w:styleId="Heading7">
    <w:name w:val="heading 7"/>
    <w:basedOn w:val="Normal"/>
    <w:next w:val="ParaNum"/>
    <w:qFormat/>
    <w:rsid w:val="00DA1C4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1C4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1C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A1C45"/>
    <w:pPr>
      <w:numPr>
        <w:numId w:val="2"/>
      </w:numPr>
      <w:tabs>
        <w:tab w:val="clear" w:pos="1080"/>
        <w:tab w:val="num" w:pos="1440"/>
      </w:tabs>
      <w:spacing w:after="120"/>
    </w:pPr>
  </w:style>
  <w:style w:type="paragraph" w:styleId="EndnoteText">
    <w:name w:val="endnote text"/>
    <w:basedOn w:val="Normal"/>
    <w:semiHidden/>
    <w:rsid w:val="00DA1C45"/>
    <w:rPr>
      <w:sz w:val="20"/>
    </w:rPr>
  </w:style>
  <w:style w:type="character" w:styleId="EndnoteReference">
    <w:name w:val="endnote reference"/>
    <w:semiHidden/>
    <w:rsid w:val="00DA1C45"/>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DA1C4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A1C45"/>
    <w:rPr>
      <w:rFonts w:ascii="Times New Roman" w:hAnsi="Times New Roman"/>
      <w:dstrike w:val="0"/>
      <w:color w:val="auto"/>
      <w:sz w:val="20"/>
      <w:vertAlign w:val="superscript"/>
    </w:rPr>
  </w:style>
  <w:style w:type="paragraph" w:styleId="TOC1">
    <w:name w:val="toc 1"/>
    <w:basedOn w:val="Normal"/>
    <w:next w:val="Normal"/>
    <w:semiHidden/>
    <w:rsid w:val="00DA1C4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1C45"/>
    <w:pPr>
      <w:tabs>
        <w:tab w:val="left" w:pos="720"/>
        <w:tab w:val="right" w:leader="dot" w:pos="9360"/>
      </w:tabs>
      <w:suppressAutoHyphens/>
      <w:ind w:left="720" w:right="720" w:hanging="360"/>
    </w:pPr>
    <w:rPr>
      <w:noProof/>
    </w:rPr>
  </w:style>
  <w:style w:type="paragraph" w:styleId="TOC3">
    <w:name w:val="toc 3"/>
    <w:basedOn w:val="Normal"/>
    <w:next w:val="Normal"/>
    <w:semiHidden/>
    <w:rsid w:val="00DA1C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1C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1C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1C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1C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1C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1C45"/>
    <w:pPr>
      <w:tabs>
        <w:tab w:val="left" w:pos="3240"/>
        <w:tab w:val="right" w:leader="dot" w:pos="9360"/>
      </w:tabs>
      <w:suppressAutoHyphens/>
      <w:ind w:left="3240" w:hanging="360"/>
    </w:pPr>
    <w:rPr>
      <w:noProof/>
    </w:rPr>
  </w:style>
  <w:style w:type="paragraph" w:styleId="TOAHeading">
    <w:name w:val="toa heading"/>
    <w:basedOn w:val="Normal"/>
    <w:next w:val="Normal"/>
    <w:rsid w:val="00DA1C45"/>
    <w:pPr>
      <w:tabs>
        <w:tab w:val="right" w:pos="9360"/>
      </w:tabs>
      <w:suppressAutoHyphens/>
    </w:pPr>
  </w:style>
  <w:style w:type="character" w:customStyle="1" w:styleId="EquationCaption">
    <w:name w:val="_Equation Caption"/>
    <w:rsid w:val="00DA1C45"/>
  </w:style>
  <w:style w:type="paragraph" w:styleId="Header">
    <w:name w:val="header"/>
    <w:basedOn w:val="Normal"/>
    <w:autoRedefine/>
    <w:rsid w:val="00DA1C45"/>
    <w:pPr>
      <w:tabs>
        <w:tab w:val="center" w:pos="4680"/>
        <w:tab w:val="right" w:pos="9360"/>
      </w:tabs>
    </w:pPr>
    <w:rPr>
      <w:b/>
    </w:rPr>
  </w:style>
  <w:style w:type="paragraph" w:styleId="Footer">
    <w:name w:val="footer"/>
    <w:basedOn w:val="Normal"/>
    <w:link w:val="FooterChar"/>
    <w:uiPriority w:val="99"/>
    <w:rsid w:val="00DA1C45"/>
    <w:pPr>
      <w:tabs>
        <w:tab w:val="center" w:pos="4320"/>
        <w:tab w:val="right" w:pos="8640"/>
      </w:tabs>
    </w:pPr>
  </w:style>
  <w:style w:type="character" w:styleId="PageNumber">
    <w:name w:val="page number"/>
    <w:basedOn w:val="DefaultParagraphFont"/>
    <w:rsid w:val="00DA1C45"/>
  </w:style>
  <w:style w:type="paragraph" w:styleId="BlockText">
    <w:name w:val="Block Text"/>
    <w:basedOn w:val="Normal"/>
    <w:rsid w:val="00DA1C45"/>
    <w:pPr>
      <w:spacing w:after="240"/>
      <w:ind w:left="1440" w:right="1440"/>
    </w:pPr>
  </w:style>
  <w:style w:type="paragraph" w:customStyle="1" w:styleId="Paratitle">
    <w:name w:val="Para title"/>
    <w:basedOn w:val="Normal"/>
    <w:rsid w:val="00DA1C45"/>
    <w:pPr>
      <w:tabs>
        <w:tab w:val="center" w:pos="9270"/>
      </w:tabs>
      <w:spacing w:after="240"/>
    </w:pPr>
    <w:rPr>
      <w:spacing w:val="-2"/>
    </w:rPr>
  </w:style>
  <w:style w:type="paragraph" w:customStyle="1" w:styleId="Bullet">
    <w:name w:val="Bullet"/>
    <w:basedOn w:val="Normal"/>
    <w:rsid w:val="00DA1C45"/>
    <w:pPr>
      <w:tabs>
        <w:tab w:val="left" w:pos="2160"/>
      </w:tabs>
      <w:spacing w:after="220"/>
      <w:ind w:left="2160" w:hanging="720"/>
    </w:pPr>
  </w:style>
  <w:style w:type="paragraph" w:customStyle="1" w:styleId="TableFormat">
    <w:name w:val="TableFormat"/>
    <w:basedOn w:val="Bullet"/>
    <w:rsid w:val="00DA1C45"/>
    <w:pPr>
      <w:tabs>
        <w:tab w:val="clear" w:pos="2160"/>
        <w:tab w:val="left" w:pos="5040"/>
      </w:tabs>
      <w:ind w:left="5040" w:hanging="3600"/>
    </w:pPr>
  </w:style>
  <w:style w:type="paragraph" w:customStyle="1" w:styleId="TOCTitle">
    <w:name w:val="TOC Title"/>
    <w:basedOn w:val="Normal"/>
    <w:rsid w:val="00DA1C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1C45"/>
    <w:pPr>
      <w:jc w:val="center"/>
    </w:pPr>
    <w:rPr>
      <w:rFonts w:ascii="Times New Roman Bold" w:hAnsi="Times New Roman Bold"/>
      <w:b/>
      <w:bCs/>
      <w:caps/>
      <w:szCs w:val="22"/>
    </w:rPr>
  </w:style>
  <w:style w:type="character" w:styleId="Hyperlink">
    <w:name w:val="Hyperlink"/>
    <w:rsid w:val="00DA1C45"/>
    <w:rPr>
      <w:color w:val="0000FF"/>
      <w:u w:val="single"/>
    </w:rPr>
  </w:style>
  <w:style w:type="character" w:customStyle="1" w:styleId="FooterChar">
    <w:name w:val="Footer Char"/>
    <w:link w:val="Footer"/>
    <w:uiPriority w:val="99"/>
    <w:rsid w:val="00DA1C45"/>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 w:type="character" w:customStyle="1" w:styleId="documentbody5">
    <w:name w:val="documentbody5"/>
    <w:rsid w:val="00920489"/>
    <w:rPr>
      <w:rFonts w:ascii="Verdana" w:hAnsi="Verdana" w:hint="default"/>
      <w:sz w:val="19"/>
      <w:szCs w:val="19"/>
    </w:rPr>
  </w:style>
  <w:style w:type="paragraph" w:styleId="Revision">
    <w:name w:val="Revision"/>
    <w:hidden/>
    <w:uiPriority w:val="99"/>
    <w:semiHidden/>
    <w:rsid w:val="00AC51C7"/>
    <w:rPr>
      <w:snapToGrid w:val="0"/>
      <w:kern w:val="28"/>
      <w:sz w:val="22"/>
    </w:rPr>
  </w:style>
  <w:style w:type="character" w:styleId="CommentReference">
    <w:name w:val="annotation reference"/>
    <w:rsid w:val="00C61D17"/>
    <w:rPr>
      <w:sz w:val="16"/>
      <w:szCs w:val="16"/>
    </w:rPr>
  </w:style>
  <w:style w:type="paragraph" w:styleId="CommentText">
    <w:name w:val="annotation text"/>
    <w:basedOn w:val="Normal"/>
    <w:link w:val="CommentTextChar"/>
    <w:rsid w:val="00C61D17"/>
    <w:rPr>
      <w:sz w:val="20"/>
    </w:rPr>
  </w:style>
  <w:style w:type="character" w:customStyle="1" w:styleId="CommentTextChar">
    <w:name w:val="Comment Text Char"/>
    <w:link w:val="CommentText"/>
    <w:rsid w:val="00C61D17"/>
    <w:rPr>
      <w:snapToGrid w:val="0"/>
      <w:kern w:val="28"/>
    </w:rPr>
  </w:style>
  <w:style w:type="paragraph" w:styleId="CommentSubject">
    <w:name w:val="annotation subject"/>
    <w:basedOn w:val="CommentText"/>
    <w:next w:val="CommentText"/>
    <w:link w:val="CommentSubjectChar"/>
    <w:rsid w:val="00C61D17"/>
    <w:rPr>
      <w:b/>
      <w:bCs/>
    </w:rPr>
  </w:style>
  <w:style w:type="character" w:customStyle="1" w:styleId="CommentSubjectChar">
    <w:name w:val="Comment Subject Char"/>
    <w:link w:val="CommentSubject"/>
    <w:rsid w:val="00C61D17"/>
    <w:rPr>
      <w:b/>
      <w:bCs/>
      <w:snapToGrid w:val="0"/>
      <w:kern w:val="28"/>
    </w:rPr>
  </w:style>
  <w:style w:type="paragraph" w:styleId="ListParagraph">
    <w:name w:val="List Paragraph"/>
    <w:basedOn w:val="Normal"/>
    <w:uiPriority w:val="34"/>
    <w:qFormat/>
    <w:rsid w:val="00635DDC"/>
    <w:pPr>
      <w:ind w:left="720"/>
      <w:contextualSpacing/>
    </w:pPr>
  </w:style>
  <w:style w:type="character" w:customStyle="1" w:styleId="markedcontent">
    <w:name w:val="markedcontent"/>
    <w:basedOn w:val="DefaultParagraphFont"/>
    <w:rsid w:val="00607DF7"/>
  </w:style>
  <w:style w:type="character" w:customStyle="1" w:styleId="highlight">
    <w:name w:val="highlight"/>
    <w:basedOn w:val="DefaultParagraphFont"/>
    <w:rsid w:val="00607DF7"/>
  </w:style>
  <w:style w:type="character" w:styleId="UnresolvedMention">
    <w:name w:val="Unresolved Mention"/>
    <w:basedOn w:val="DefaultParagraphFont"/>
    <w:rsid w:val="00CC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castellimedialasvegas@gmail.com" TargetMode="External" /><Relationship Id="rId12" Type="http://schemas.openxmlformats.org/officeDocument/2006/relationships/hyperlink" Target="mailto:dja@commlaw.tv"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NAL@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